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C5" w:rsidRPr="00B11F81" w:rsidRDefault="000D28EA" w:rsidP="005A00C5">
      <w:pPr>
        <w:pStyle w:val="Nombredireccininterior"/>
        <w:spacing w:before="240" w:line="240" w:lineRule="auto"/>
        <w:ind w:left="4247"/>
        <w:rPr>
          <w:szCs w:val="24"/>
        </w:rPr>
      </w:pPr>
      <w:bookmarkStart w:id="0" w:name="_GoBack"/>
      <w:bookmarkEnd w:id="0"/>
      <w:r>
        <w:rPr>
          <w:szCs w:val="24"/>
        </w:rPr>
        <w:t>6</w:t>
      </w:r>
      <w:r w:rsidR="005A00C5" w:rsidRPr="00B11F81">
        <w:rPr>
          <w:szCs w:val="24"/>
        </w:rPr>
        <w:t xml:space="preserve"> de </w:t>
      </w:r>
      <w:r>
        <w:rPr>
          <w:szCs w:val="24"/>
        </w:rPr>
        <w:t>febrer</w:t>
      </w:r>
      <w:r w:rsidR="00EB51DD">
        <w:rPr>
          <w:szCs w:val="24"/>
        </w:rPr>
        <w:t>o</w:t>
      </w:r>
      <w:r w:rsidR="005A00C5" w:rsidRPr="00B11F81">
        <w:rPr>
          <w:szCs w:val="24"/>
        </w:rPr>
        <w:t xml:space="preserve"> de </w:t>
      </w:r>
      <w:r w:rsidR="005A00C5" w:rsidRPr="00B11F81">
        <w:rPr>
          <w:rFonts w:cs="Arial"/>
          <w:bCs/>
          <w:szCs w:val="24"/>
          <w:lang w:val="pt-BR"/>
        </w:rPr>
        <w:t>20</w:t>
      </w:r>
      <w:r w:rsidR="00F41160" w:rsidRPr="00B11F81">
        <w:rPr>
          <w:szCs w:val="24"/>
        </w:rPr>
        <w:t>1</w:t>
      </w:r>
      <w:r w:rsidR="00EB51DD">
        <w:rPr>
          <w:szCs w:val="24"/>
        </w:rPr>
        <w:t>4</w:t>
      </w:r>
    </w:p>
    <w:p w:rsidR="00B33413" w:rsidRPr="00B11F81" w:rsidRDefault="00AD6176" w:rsidP="00E449FF">
      <w:pPr>
        <w:pStyle w:val="Nombredireccininterior"/>
        <w:spacing w:before="0" w:line="240" w:lineRule="auto"/>
        <w:ind w:left="4248"/>
        <w:rPr>
          <w:rFonts w:cs="Arial"/>
          <w:bCs/>
          <w:szCs w:val="24"/>
          <w:lang w:val="pt-BR"/>
        </w:rPr>
      </w:pPr>
      <w:r w:rsidRPr="00A57FD3">
        <w:rPr>
          <w:szCs w:val="24"/>
          <w:lang w:val="es-CR"/>
        </w:rPr>
        <w:t>DGET</w:t>
      </w:r>
      <w:r w:rsidR="00762CBB" w:rsidRPr="00A57FD3">
        <w:rPr>
          <w:szCs w:val="24"/>
          <w:lang w:val="es-CR"/>
        </w:rPr>
        <w:t>-</w:t>
      </w:r>
      <w:r w:rsidR="000D28EA">
        <w:rPr>
          <w:szCs w:val="24"/>
          <w:lang w:val="es-CR"/>
        </w:rPr>
        <w:t>030</w:t>
      </w:r>
      <w:r w:rsidR="00B33413" w:rsidRPr="00B11F81">
        <w:rPr>
          <w:rFonts w:cs="Arial"/>
          <w:bCs/>
          <w:szCs w:val="24"/>
          <w:lang w:val="pt-BR"/>
        </w:rPr>
        <w:t>-20</w:t>
      </w:r>
      <w:r w:rsidR="00F41160" w:rsidRPr="00A57FD3">
        <w:rPr>
          <w:szCs w:val="24"/>
          <w:lang w:val="es-CR"/>
        </w:rPr>
        <w:t>1</w:t>
      </w:r>
      <w:r w:rsidR="00EB51DD">
        <w:rPr>
          <w:szCs w:val="24"/>
          <w:lang w:val="es-CR"/>
        </w:rPr>
        <w:t>4</w:t>
      </w:r>
    </w:p>
    <w:p w:rsidR="00F41160" w:rsidRPr="00A57FD3" w:rsidRDefault="007E70EE" w:rsidP="00F41160">
      <w:pPr>
        <w:pStyle w:val="Nombredireccininterior"/>
        <w:spacing w:before="600" w:line="240" w:lineRule="auto"/>
        <w:rPr>
          <w:szCs w:val="24"/>
          <w:lang w:val="es-CR"/>
        </w:rPr>
      </w:pPr>
      <w:r w:rsidRPr="00A57FD3">
        <w:rPr>
          <w:szCs w:val="24"/>
          <w:lang w:val="es-CR"/>
        </w:rPr>
        <w:t>Licenciad</w:t>
      </w:r>
      <w:r w:rsidR="00A57FD3" w:rsidRPr="00A57FD3">
        <w:rPr>
          <w:szCs w:val="24"/>
          <w:lang w:val="es-CR"/>
        </w:rPr>
        <w:t>o</w:t>
      </w:r>
    </w:p>
    <w:p w:rsidR="00116A5A" w:rsidRPr="00A57FD3" w:rsidRDefault="00A57FD3" w:rsidP="00F41160">
      <w:pPr>
        <w:pStyle w:val="Nombredireccininterior"/>
        <w:spacing w:before="0" w:line="240" w:lineRule="auto"/>
        <w:rPr>
          <w:szCs w:val="24"/>
          <w:lang w:val="es-CR"/>
        </w:rPr>
      </w:pPr>
      <w:r w:rsidRPr="00A57FD3">
        <w:rPr>
          <w:szCs w:val="24"/>
          <w:lang w:val="es-CR"/>
        </w:rPr>
        <w:t>Francisco Rodríguez Siles</w:t>
      </w:r>
    </w:p>
    <w:p w:rsidR="00A57FD3" w:rsidRPr="00A57FD3" w:rsidRDefault="00A57FD3" w:rsidP="00A57FD3">
      <w:pPr>
        <w:rPr>
          <w:lang w:eastAsia="en-US"/>
        </w:rPr>
      </w:pPr>
      <w:r w:rsidRPr="00A57FD3">
        <w:rPr>
          <w:lang w:eastAsia="en-US"/>
        </w:rPr>
        <w:t>Director Ejecu</w:t>
      </w:r>
      <w:r>
        <w:rPr>
          <w:lang w:eastAsia="en-US"/>
        </w:rPr>
        <w:t xml:space="preserve">tivo </w:t>
      </w:r>
    </w:p>
    <w:p w:rsidR="00FA7ED3" w:rsidRPr="00B11F81" w:rsidRDefault="00A57FD3" w:rsidP="00FA7ED3">
      <w:pPr>
        <w:rPr>
          <w:szCs w:val="24"/>
          <w:lang w:val="es-ES" w:eastAsia="en-US"/>
        </w:rPr>
      </w:pPr>
      <w:r>
        <w:rPr>
          <w:szCs w:val="24"/>
          <w:lang w:val="es-ES" w:eastAsia="en-US"/>
        </w:rPr>
        <w:t>Tribunal Supremo de Elecciones</w:t>
      </w:r>
    </w:p>
    <w:p w:rsidR="007E70EE" w:rsidRPr="00B11F81" w:rsidRDefault="007E70EE" w:rsidP="00FA7ED3">
      <w:pPr>
        <w:rPr>
          <w:szCs w:val="24"/>
          <w:lang w:val="es-ES" w:eastAsia="en-US"/>
        </w:rPr>
      </w:pPr>
    </w:p>
    <w:p w:rsidR="00C10926" w:rsidRPr="00C10926" w:rsidRDefault="00F41160" w:rsidP="00C10926">
      <w:pPr>
        <w:pStyle w:val="Nombredireccininterior"/>
        <w:spacing w:before="240" w:line="240" w:lineRule="auto"/>
        <w:ind w:left="5381" w:hanging="1134"/>
        <w:rPr>
          <w:rFonts w:cs="Arial"/>
          <w:bCs/>
          <w:szCs w:val="24"/>
          <w:lang w:val="es-MX"/>
        </w:rPr>
      </w:pPr>
      <w:r w:rsidRPr="00B11F81">
        <w:rPr>
          <w:rFonts w:cs="Arial"/>
          <w:bCs/>
          <w:szCs w:val="24"/>
          <w:lang w:val="es-MX"/>
        </w:rPr>
        <w:t>ASUNTO:</w:t>
      </w:r>
      <w:r w:rsidRPr="00B11F81">
        <w:rPr>
          <w:rFonts w:cs="Arial"/>
          <w:b/>
          <w:bCs/>
          <w:szCs w:val="24"/>
          <w:lang w:val="es-MX"/>
        </w:rPr>
        <w:tab/>
      </w:r>
      <w:r w:rsidR="00EB51DD">
        <w:rPr>
          <w:rFonts w:cs="Arial"/>
          <w:bCs/>
          <w:szCs w:val="24"/>
          <w:lang w:val="es-MX"/>
        </w:rPr>
        <w:t>Informe sobre valoración de riesgos</w:t>
      </w:r>
      <w:r w:rsidR="00C932BE">
        <w:rPr>
          <w:rFonts w:cs="Arial"/>
          <w:bCs/>
          <w:szCs w:val="24"/>
          <w:lang w:val="es-MX"/>
        </w:rPr>
        <w:t xml:space="preserve"> 2013</w:t>
      </w:r>
      <w:r w:rsidR="00C10926">
        <w:rPr>
          <w:rFonts w:cs="Arial"/>
          <w:bCs/>
          <w:szCs w:val="24"/>
          <w:lang w:val="es-MX"/>
        </w:rPr>
        <w:t>.</w:t>
      </w:r>
    </w:p>
    <w:p w:rsidR="00F41160" w:rsidRPr="004A4DFE" w:rsidRDefault="00F41160" w:rsidP="00F41160">
      <w:pPr>
        <w:spacing w:before="360"/>
        <w:jc w:val="both"/>
        <w:rPr>
          <w:rFonts w:cs="Arial"/>
          <w:bCs/>
          <w:iCs/>
          <w:szCs w:val="24"/>
          <w:lang w:val="es-MX"/>
        </w:rPr>
      </w:pPr>
      <w:r w:rsidRPr="004A4DFE">
        <w:rPr>
          <w:rFonts w:cs="Arial"/>
          <w:bCs/>
          <w:iCs/>
          <w:szCs w:val="24"/>
          <w:lang w:val="es-MX"/>
        </w:rPr>
        <w:t>Estimad</w:t>
      </w:r>
      <w:r w:rsidR="00A57FD3" w:rsidRPr="004A4DFE">
        <w:rPr>
          <w:rFonts w:cs="Arial"/>
          <w:bCs/>
          <w:iCs/>
          <w:szCs w:val="24"/>
          <w:lang w:val="es-MX"/>
        </w:rPr>
        <w:t>o</w:t>
      </w:r>
      <w:r w:rsidRPr="004A4DFE">
        <w:rPr>
          <w:rFonts w:cs="Arial"/>
          <w:bCs/>
          <w:iCs/>
          <w:szCs w:val="24"/>
          <w:lang w:val="es-MX"/>
        </w:rPr>
        <w:t xml:space="preserve"> señor:</w:t>
      </w:r>
    </w:p>
    <w:p w:rsidR="00F41160" w:rsidRPr="004A4DFE" w:rsidRDefault="00F41160" w:rsidP="00F41160">
      <w:pPr>
        <w:ind w:firstLine="708"/>
        <w:jc w:val="both"/>
        <w:rPr>
          <w:rFonts w:cs="Arial"/>
          <w:szCs w:val="24"/>
        </w:rPr>
      </w:pPr>
    </w:p>
    <w:p w:rsidR="00EB51DD" w:rsidRPr="002D7A3B" w:rsidRDefault="00537958" w:rsidP="00491B96">
      <w:pPr>
        <w:jc w:val="both"/>
        <w:rPr>
          <w:iCs/>
          <w:szCs w:val="24"/>
        </w:rPr>
      </w:pPr>
      <w:r>
        <w:rPr>
          <w:rFonts w:cs="Arial"/>
          <w:szCs w:val="24"/>
          <w:lang w:val="es-MX"/>
        </w:rPr>
        <w:tab/>
      </w:r>
      <w:r w:rsidRPr="002D7A3B">
        <w:rPr>
          <w:rFonts w:cs="Arial"/>
          <w:szCs w:val="24"/>
          <w:lang w:val="es-MX"/>
        </w:rPr>
        <w:t>De conformidad con lo establecido por el Superior en</w:t>
      </w:r>
      <w:r w:rsidRPr="002D7A3B">
        <w:rPr>
          <w:szCs w:val="24"/>
        </w:rPr>
        <w:t xml:space="preserve"> </w:t>
      </w:r>
      <w:r w:rsidRPr="002D7A3B">
        <w:rPr>
          <w:b/>
          <w:bCs/>
          <w:szCs w:val="24"/>
        </w:rPr>
        <w:t xml:space="preserve">sesión ordinaria n.º 110-2012, </w:t>
      </w:r>
      <w:r w:rsidRPr="002D7A3B">
        <w:rPr>
          <w:szCs w:val="24"/>
        </w:rPr>
        <w:t xml:space="preserve">celebrada el 20 de diciembre de 2012, comunicado mediante circular n.° </w:t>
      </w:r>
      <w:r w:rsidR="00EB51DD" w:rsidRPr="002D7A3B">
        <w:rPr>
          <w:szCs w:val="24"/>
        </w:rPr>
        <w:t>STSE-0037-2012</w:t>
      </w:r>
      <w:r w:rsidRPr="002D7A3B">
        <w:rPr>
          <w:szCs w:val="24"/>
        </w:rPr>
        <w:t xml:space="preserve">, que refiere que </w:t>
      </w:r>
      <w:r w:rsidRPr="002D7A3B">
        <w:rPr>
          <w:i/>
          <w:szCs w:val="24"/>
        </w:rPr>
        <w:t xml:space="preserve">en </w:t>
      </w:r>
      <w:r w:rsidR="00EB51DD" w:rsidRPr="002D7A3B">
        <w:rPr>
          <w:i/>
          <w:iCs/>
          <w:szCs w:val="24"/>
        </w:rPr>
        <w:t>lo sucesivo y sin excepción, durante el mes de enero de cada año, los Directores institucionales deberán remitir a la Dirección Ejecutiva los respectivos informes de valoración de riesgos –propios y de las dependencias bajo su jerarquía– relativos al ejercicio del año inmediato anterior</w:t>
      </w:r>
      <w:r w:rsidRPr="002D7A3B">
        <w:rPr>
          <w:i/>
          <w:iCs/>
          <w:szCs w:val="24"/>
        </w:rPr>
        <w:t xml:space="preserve">, </w:t>
      </w:r>
      <w:r w:rsidRPr="002D7A3B">
        <w:rPr>
          <w:iCs/>
          <w:szCs w:val="24"/>
        </w:rPr>
        <w:t>a continuación procedo a remitir el citado informe de acuerdo con los siguiente términos.</w:t>
      </w:r>
    </w:p>
    <w:p w:rsidR="00537958" w:rsidRPr="002D7A3B" w:rsidRDefault="00537958" w:rsidP="00491B96">
      <w:pPr>
        <w:jc w:val="both"/>
        <w:rPr>
          <w:iCs/>
          <w:szCs w:val="24"/>
        </w:rPr>
      </w:pPr>
    </w:p>
    <w:p w:rsidR="009E3651" w:rsidRPr="002D7A3B" w:rsidRDefault="00F069FA" w:rsidP="00491B96">
      <w:pPr>
        <w:pStyle w:val="Prrafodelista"/>
        <w:numPr>
          <w:ilvl w:val="0"/>
          <w:numId w:val="27"/>
        </w:numPr>
        <w:jc w:val="both"/>
        <w:rPr>
          <w:iCs/>
          <w:szCs w:val="24"/>
        </w:rPr>
      </w:pPr>
      <w:r w:rsidRPr="002D7A3B">
        <w:rPr>
          <w:rFonts w:cs="Arial"/>
          <w:szCs w:val="24"/>
          <w:lang w:val="es-MX"/>
        </w:rPr>
        <w:t>De acuerdo con disposiciones institucionales</w:t>
      </w:r>
      <w:r w:rsidR="00653EB8" w:rsidRPr="002D7A3B">
        <w:rPr>
          <w:rFonts w:cs="Arial"/>
          <w:szCs w:val="24"/>
          <w:lang w:val="es-MX"/>
        </w:rPr>
        <w:t xml:space="preserve"> (oficio n.° CPEI-151-2011), </w:t>
      </w:r>
      <w:r w:rsidRPr="002D7A3B">
        <w:rPr>
          <w:rFonts w:cs="Arial"/>
          <w:szCs w:val="24"/>
          <w:lang w:val="es-MX"/>
        </w:rPr>
        <w:t>es importante señalar que</w:t>
      </w:r>
      <w:r w:rsidR="00653EB8" w:rsidRPr="002D7A3B">
        <w:rPr>
          <w:rFonts w:cs="Arial"/>
          <w:szCs w:val="24"/>
          <w:lang w:val="es-MX"/>
        </w:rPr>
        <w:t xml:space="preserve"> con la finalidad de cumplir con los requisitos documentales de la norma ISO 9001:2008, así como lo dispuesto en el artículo 15 de </w:t>
      </w:r>
      <w:r w:rsidR="00653EB8" w:rsidRPr="002D7A3B">
        <w:rPr>
          <w:iCs/>
          <w:szCs w:val="24"/>
        </w:rPr>
        <w:t xml:space="preserve">la Ley N°. 8292 de Control Interno, el formato de los procedimientos se readecuaron en términos de control de versiones, fecha de vigencia y se incluyó la respectiva </w:t>
      </w:r>
      <w:r w:rsidR="00BD5AC0" w:rsidRPr="002D7A3B">
        <w:rPr>
          <w:iCs/>
          <w:szCs w:val="24"/>
        </w:rPr>
        <w:t>M</w:t>
      </w:r>
      <w:r w:rsidR="00653EB8" w:rsidRPr="002D7A3B">
        <w:rPr>
          <w:iCs/>
          <w:szCs w:val="24"/>
        </w:rPr>
        <w:t xml:space="preserve">atriz de </w:t>
      </w:r>
      <w:r w:rsidR="00BD5AC0" w:rsidRPr="002D7A3B">
        <w:rPr>
          <w:iCs/>
          <w:szCs w:val="24"/>
        </w:rPr>
        <w:t>R</w:t>
      </w:r>
      <w:r w:rsidR="00653EB8" w:rsidRPr="002D7A3B">
        <w:rPr>
          <w:iCs/>
          <w:szCs w:val="24"/>
        </w:rPr>
        <w:t xml:space="preserve">iesgo </w:t>
      </w:r>
      <w:r w:rsidR="00BD5AC0" w:rsidRPr="002D7A3B">
        <w:rPr>
          <w:iCs/>
          <w:szCs w:val="24"/>
        </w:rPr>
        <w:t>T</w:t>
      </w:r>
      <w:r w:rsidR="00653EB8" w:rsidRPr="002D7A3B">
        <w:rPr>
          <w:iCs/>
          <w:szCs w:val="24"/>
        </w:rPr>
        <w:t>otal, resultante de la valoración del riesgo</w:t>
      </w:r>
      <w:r w:rsidR="00BD5AC0" w:rsidRPr="002D7A3B">
        <w:rPr>
          <w:iCs/>
          <w:szCs w:val="24"/>
        </w:rPr>
        <w:t xml:space="preserve">, </w:t>
      </w:r>
      <w:r w:rsidR="00653EB8" w:rsidRPr="002D7A3B">
        <w:rPr>
          <w:iCs/>
          <w:szCs w:val="24"/>
        </w:rPr>
        <w:t>de manera que lo correspondiente al análisis de riesgos est</w:t>
      </w:r>
      <w:r w:rsidR="000D28EA" w:rsidRPr="002D7A3B">
        <w:rPr>
          <w:iCs/>
          <w:szCs w:val="24"/>
        </w:rPr>
        <w:t>á</w:t>
      </w:r>
      <w:r w:rsidR="00653EB8" w:rsidRPr="002D7A3B">
        <w:rPr>
          <w:iCs/>
          <w:szCs w:val="24"/>
        </w:rPr>
        <w:t xml:space="preserve"> incluido en los Manuales de Procedimientos y no en documen</w:t>
      </w:r>
      <w:r w:rsidR="00BD5AC0" w:rsidRPr="002D7A3B">
        <w:rPr>
          <w:iCs/>
          <w:szCs w:val="24"/>
        </w:rPr>
        <w:t>to aparte.</w:t>
      </w:r>
    </w:p>
    <w:p w:rsidR="00BD5AC0" w:rsidRPr="002D7A3B" w:rsidRDefault="00BD5AC0" w:rsidP="00491B96">
      <w:pPr>
        <w:pStyle w:val="Prrafodelista"/>
        <w:ind w:left="360"/>
        <w:jc w:val="both"/>
        <w:rPr>
          <w:iCs/>
          <w:szCs w:val="24"/>
        </w:rPr>
      </w:pPr>
    </w:p>
    <w:p w:rsidR="00653EB8" w:rsidRPr="002D7A3B" w:rsidRDefault="00BD5AC0" w:rsidP="00491B96">
      <w:pPr>
        <w:pStyle w:val="Prrafodelista"/>
        <w:numPr>
          <w:ilvl w:val="0"/>
          <w:numId w:val="27"/>
        </w:numPr>
        <w:jc w:val="both"/>
        <w:rPr>
          <w:iCs/>
          <w:szCs w:val="24"/>
        </w:rPr>
      </w:pPr>
      <w:r w:rsidRPr="002D7A3B">
        <w:rPr>
          <w:iCs/>
          <w:szCs w:val="24"/>
        </w:rPr>
        <w:t>A ese respecto, se estableció como periodicidad que antes de finalizar el mes de mayo de cada año, los manuales de procedimientos se actualicen como parte de las buenas prácticas de calidad documental, para lo cual en la DGET se ha dispuesto del respectivo control que permite velar por el cumplimiento de esta disposición, así como del adecuado seguimiento a los riesgos definidos en los manuales de procedimientos de la propia Dirección, así como de sus dependencias adscritas</w:t>
      </w:r>
      <w:r w:rsidR="00276EAE" w:rsidRPr="002D7A3B">
        <w:rPr>
          <w:iCs/>
          <w:szCs w:val="24"/>
        </w:rPr>
        <w:t>, todo lo cual se encuentra respaldado en minutas de reuniones de seguimiento que para tal efecto se han documentado</w:t>
      </w:r>
      <w:r w:rsidRPr="002D7A3B">
        <w:rPr>
          <w:iCs/>
          <w:szCs w:val="24"/>
        </w:rPr>
        <w:t>.</w:t>
      </w:r>
    </w:p>
    <w:p w:rsidR="00BD5AC0" w:rsidRPr="002D7A3B" w:rsidRDefault="00BD5AC0" w:rsidP="00491B96">
      <w:pPr>
        <w:pStyle w:val="Prrafodelista"/>
        <w:rPr>
          <w:iCs/>
          <w:szCs w:val="24"/>
        </w:rPr>
      </w:pPr>
    </w:p>
    <w:p w:rsidR="00C932BE" w:rsidRPr="002D7A3B" w:rsidRDefault="00276EAE" w:rsidP="00491B96">
      <w:pPr>
        <w:pStyle w:val="Prrafodelista"/>
        <w:numPr>
          <w:ilvl w:val="0"/>
          <w:numId w:val="27"/>
        </w:numPr>
        <w:spacing w:after="120"/>
        <w:jc w:val="both"/>
        <w:rPr>
          <w:iCs/>
          <w:szCs w:val="24"/>
        </w:rPr>
      </w:pPr>
      <w:r w:rsidRPr="002D7A3B">
        <w:rPr>
          <w:iCs/>
          <w:szCs w:val="24"/>
        </w:rPr>
        <w:lastRenderedPageBreak/>
        <w:t>Como parte del análisis de la información recopilada con relaci</w:t>
      </w:r>
      <w:r w:rsidR="00D0730C" w:rsidRPr="002D7A3B">
        <w:rPr>
          <w:iCs/>
          <w:szCs w:val="24"/>
        </w:rPr>
        <w:t>ón a los riesgos e</w:t>
      </w:r>
      <w:r w:rsidRPr="002D7A3B">
        <w:rPr>
          <w:iCs/>
          <w:szCs w:val="24"/>
        </w:rPr>
        <w:t xml:space="preserve">n los procedimientos de trabajo </w:t>
      </w:r>
      <w:r w:rsidR="00D0730C" w:rsidRPr="002D7A3B">
        <w:rPr>
          <w:iCs/>
          <w:szCs w:val="24"/>
        </w:rPr>
        <w:t xml:space="preserve">es relevante mencionar que un factor de riesgo identificado en la propia DGET, es que las iniciativas a desarrollar en materia de TI no estuviese alineadas con las necesidades institucionales del </w:t>
      </w:r>
      <w:r w:rsidR="004C322F" w:rsidRPr="002D7A3B">
        <w:rPr>
          <w:iCs/>
          <w:szCs w:val="24"/>
        </w:rPr>
        <w:t>Plan Estratégico Institucional (PEI)</w:t>
      </w:r>
      <w:r w:rsidR="00D0730C" w:rsidRPr="002D7A3B">
        <w:rPr>
          <w:iCs/>
          <w:szCs w:val="24"/>
        </w:rPr>
        <w:t xml:space="preserve">, y por tal razón </w:t>
      </w:r>
      <w:r w:rsidR="004C322F" w:rsidRPr="002D7A3B">
        <w:rPr>
          <w:iCs/>
          <w:szCs w:val="24"/>
        </w:rPr>
        <w:t>s</w:t>
      </w:r>
      <w:r w:rsidR="00D0730C" w:rsidRPr="002D7A3B">
        <w:rPr>
          <w:iCs/>
          <w:szCs w:val="24"/>
        </w:rPr>
        <w:t>e efectuaron sesiones de trabajo en pr</w:t>
      </w:r>
      <w:r w:rsidR="004C322F" w:rsidRPr="002D7A3B">
        <w:rPr>
          <w:iCs/>
          <w:szCs w:val="24"/>
        </w:rPr>
        <w:t>ocura del adecuado alineamiento que culminaron con la formulación de un Plan Estratégico de Tecnologías de Información (PETI) que traduce las aspiraciones que en materia de TI se ha proyectado alineadas con el PEI para el quinquenio 2014-2018, lo cual fue p</w:t>
      </w:r>
      <w:r w:rsidR="004C322F" w:rsidRPr="002D7A3B">
        <w:rPr>
          <w:szCs w:val="24"/>
        </w:rPr>
        <w:t xml:space="preserve">resentado al CPEI mediante oficio n. DGET-385-2013 en el que se indicó el debido alineamiento con el PEI 2014-2018. Además, en sesión de trabajo el 21 de diciembre de 2013, con la participación de </w:t>
      </w:r>
      <w:r w:rsidR="007E5FE4" w:rsidRPr="002D7A3B">
        <w:rPr>
          <w:szCs w:val="24"/>
        </w:rPr>
        <w:t>t</w:t>
      </w:r>
      <w:r w:rsidR="004C322F" w:rsidRPr="002D7A3B">
        <w:rPr>
          <w:szCs w:val="24"/>
        </w:rPr>
        <w:t>odas la</w:t>
      </w:r>
      <w:r w:rsidR="007E5FE4" w:rsidRPr="002D7A3B">
        <w:rPr>
          <w:szCs w:val="24"/>
        </w:rPr>
        <w:t>s</w:t>
      </w:r>
      <w:r w:rsidR="004C322F" w:rsidRPr="002D7A3B">
        <w:rPr>
          <w:szCs w:val="24"/>
        </w:rPr>
        <w:t xml:space="preserve"> jefaturas de la DGET se afinaron detalles de la formulación y debido alineamiento entre las TI y las necesidades </w:t>
      </w:r>
      <w:r w:rsidR="007E5FE4" w:rsidRPr="002D7A3B">
        <w:rPr>
          <w:szCs w:val="24"/>
        </w:rPr>
        <w:t>estratégicas</w:t>
      </w:r>
      <w:r w:rsidR="004C322F" w:rsidRPr="002D7A3B">
        <w:rPr>
          <w:szCs w:val="24"/>
        </w:rPr>
        <w:t xml:space="preserve"> de la institución.</w:t>
      </w:r>
      <w:r w:rsidR="00C932BE" w:rsidRPr="002D7A3B">
        <w:rPr>
          <w:szCs w:val="24"/>
        </w:rPr>
        <w:t xml:space="preserve"> </w:t>
      </w:r>
      <w:r w:rsidR="000D28EA" w:rsidRPr="002D7A3B">
        <w:rPr>
          <w:szCs w:val="24"/>
        </w:rPr>
        <w:t>A la fecha el PETI 2014-2018 se encuentra en el seno del CPEI.</w:t>
      </w:r>
    </w:p>
    <w:p w:rsidR="00C932BE" w:rsidRPr="002D7A3B" w:rsidRDefault="00C932BE" w:rsidP="00491B96">
      <w:pPr>
        <w:pStyle w:val="Prrafodelista"/>
        <w:rPr>
          <w:iCs/>
          <w:szCs w:val="24"/>
        </w:rPr>
      </w:pPr>
    </w:p>
    <w:p w:rsidR="00C932BE" w:rsidRPr="002D7A3B" w:rsidRDefault="00C932BE" w:rsidP="00491B96">
      <w:pPr>
        <w:pStyle w:val="Prrafodelista"/>
        <w:numPr>
          <w:ilvl w:val="0"/>
          <w:numId w:val="27"/>
        </w:numPr>
        <w:spacing w:after="120"/>
        <w:jc w:val="both"/>
        <w:rPr>
          <w:iCs/>
          <w:szCs w:val="24"/>
        </w:rPr>
      </w:pPr>
      <w:r w:rsidRPr="002D7A3B">
        <w:rPr>
          <w:iCs/>
          <w:szCs w:val="24"/>
        </w:rPr>
        <w:t>En lo que respecta a la actividad de Comercialización de Servicios, algunos riesgos identificados no se han materializado toda vez que las actividades definidas no se han ejecutado pues dependen en gran medida de la implementaciones de un plan de negocio, siendo que a la fecha se está en proceso de revisión del plan de negocio para el producto de verificación de identidad (VID) y se iniciará con  la formulación del plan de negocio para el servicio de certificaciones digitales del Tribunal Supremo de Elecciones (CDT).</w:t>
      </w:r>
      <w:r w:rsidR="000D28EA" w:rsidRPr="002D7A3B">
        <w:rPr>
          <w:iCs/>
          <w:szCs w:val="24"/>
        </w:rPr>
        <w:t xml:space="preserve"> Para ambos productos el Superior ya aprobó la selección del respectivo socio estratégico.</w:t>
      </w:r>
    </w:p>
    <w:p w:rsidR="00C932BE" w:rsidRPr="002D7A3B" w:rsidRDefault="00C932BE" w:rsidP="00491B96">
      <w:pPr>
        <w:pStyle w:val="Prrafodelista"/>
        <w:spacing w:after="120"/>
        <w:ind w:left="360"/>
        <w:jc w:val="both"/>
        <w:rPr>
          <w:iCs/>
          <w:szCs w:val="24"/>
        </w:rPr>
      </w:pPr>
    </w:p>
    <w:p w:rsidR="00C932BE" w:rsidRPr="002D7A3B" w:rsidRDefault="00C932BE" w:rsidP="00491B96">
      <w:pPr>
        <w:pStyle w:val="Prrafodelista"/>
        <w:numPr>
          <w:ilvl w:val="0"/>
          <w:numId w:val="27"/>
        </w:numPr>
        <w:spacing w:after="120"/>
        <w:jc w:val="both"/>
        <w:rPr>
          <w:iCs/>
          <w:szCs w:val="24"/>
        </w:rPr>
      </w:pPr>
      <w:r w:rsidRPr="002D7A3B">
        <w:rPr>
          <w:iCs/>
          <w:szCs w:val="24"/>
        </w:rPr>
        <w:t xml:space="preserve">Con respecto a la actividad de Riesgos y Seguridad de la Información, es importante señalar que a partir de </w:t>
      </w:r>
      <w:r w:rsidR="00F81152" w:rsidRPr="002D7A3B">
        <w:rPr>
          <w:iCs/>
          <w:szCs w:val="24"/>
        </w:rPr>
        <w:t>mayo de 2013</w:t>
      </w:r>
      <w:r w:rsidRPr="002D7A3B">
        <w:rPr>
          <w:iCs/>
          <w:szCs w:val="24"/>
        </w:rPr>
        <w:t>, con el nombramiento del señor Esteban Brenes Hernández como Jefe a.i. de ésta Sección, se conformó un equipo de trabajo que está impactando a nivel organizacional en este materia, para lo cual una de las actividades en que se acentuó su función fue contrarrestar la presencia de una omisión involuntaria de alguna amenaza o punto crítico de falla en procesos a cargo de la Dirección General del Registro Electoral como dueño del proceso de Voto en el Extranjero y con la Oficialía Mayor Electoral en su condición de dueña del Proceso de Traslado de Domicilio Electoral, siendo que a la fech</w:t>
      </w:r>
      <w:r w:rsidR="00F81152" w:rsidRPr="002D7A3B">
        <w:rPr>
          <w:iCs/>
          <w:szCs w:val="24"/>
        </w:rPr>
        <w:t>a</w:t>
      </w:r>
      <w:r w:rsidRPr="002D7A3B">
        <w:rPr>
          <w:iCs/>
          <w:szCs w:val="24"/>
        </w:rPr>
        <w:t xml:space="preserve"> se continúa, en coordinación con dueños de otros procesos (Directores, Jefaturas, etc.) identificando y localizando puntos críticos de fallas y riesgos en cada uno de los procesos a su cargo.</w:t>
      </w:r>
    </w:p>
    <w:p w:rsidR="00C932BE" w:rsidRPr="002D7A3B" w:rsidRDefault="00C932BE" w:rsidP="00491B96">
      <w:pPr>
        <w:pStyle w:val="Prrafodelista"/>
        <w:spacing w:after="120"/>
        <w:ind w:left="360"/>
        <w:jc w:val="both"/>
        <w:rPr>
          <w:iCs/>
          <w:szCs w:val="24"/>
        </w:rPr>
      </w:pPr>
    </w:p>
    <w:p w:rsidR="00C932BE" w:rsidRPr="002D7A3B" w:rsidRDefault="00C932BE" w:rsidP="00491B96">
      <w:pPr>
        <w:pStyle w:val="Prrafodelista"/>
        <w:numPr>
          <w:ilvl w:val="0"/>
          <w:numId w:val="27"/>
        </w:numPr>
        <w:spacing w:after="120"/>
        <w:jc w:val="both"/>
        <w:rPr>
          <w:iCs/>
          <w:szCs w:val="24"/>
        </w:rPr>
      </w:pPr>
      <w:r w:rsidRPr="002D7A3B">
        <w:rPr>
          <w:iCs/>
          <w:szCs w:val="24"/>
        </w:rPr>
        <w:lastRenderedPageBreak/>
        <w:t xml:space="preserve">En materia de gestión de proyectos de TI sobresale que los planes de proyectos se han confeccionado conforme a la metodología para gestión de proyectos aprobada por la DGET en febrero de </w:t>
      </w:r>
      <w:r w:rsidR="000D28EA" w:rsidRPr="002D7A3B">
        <w:rPr>
          <w:iCs/>
          <w:szCs w:val="24"/>
        </w:rPr>
        <w:t>2013</w:t>
      </w:r>
      <w:r w:rsidRPr="002D7A3B">
        <w:rPr>
          <w:iCs/>
          <w:szCs w:val="24"/>
        </w:rPr>
        <w:t>. Asimismo, con el fin de que exista suficiente compromiso de los actores involucrados en la ejecución de los proyectos se ha realizado un proceso de sensibilización y comunicación para que los involucrados en el proyecto comprendan su responsabilidad. También para mitigar riesgos de no contar con suficiente recurso humano técnico y usuario para atender los requerimientos de los proyectos, la persona que funge como Administrador del Proyecto mantiene una comunicación directa con todas las partes involucradas para solicitarle los recursos necesarios para la buena ejecución del proyecto. Por otra parte, si bien cada proyecto institucional de TI</w:t>
      </w:r>
      <w:r w:rsidR="000D28EA" w:rsidRPr="002D7A3B">
        <w:rPr>
          <w:iCs/>
          <w:szCs w:val="24"/>
        </w:rPr>
        <w:t>,</w:t>
      </w:r>
      <w:r w:rsidRPr="002D7A3B">
        <w:rPr>
          <w:iCs/>
          <w:szCs w:val="24"/>
        </w:rPr>
        <w:t xml:space="preserve"> propio del quehacer de la Oficina de Proyectos Tecnológicos, lleva a cabo una administración específica de riesgos con base -claro está- en el estándar SIVAR-TSE a la luz del plan del proyecto, es normal que en materia de administración de proyectos surjan situaciones relacionadas con la ejecución presupuestaria asociada a éstos y por ello un factor de riesgo identificado siempre tendrá relación con eventuales compromisos no devengados</w:t>
      </w:r>
      <w:r w:rsidR="000D28EA" w:rsidRPr="002D7A3B">
        <w:rPr>
          <w:iCs/>
          <w:szCs w:val="24"/>
        </w:rPr>
        <w:t>,</w:t>
      </w:r>
      <w:r w:rsidRPr="002D7A3B">
        <w:rPr>
          <w:iCs/>
          <w:szCs w:val="24"/>
        </w:rPr>
        <w:t xml:space="preserve"> en virtud de lo programado versus lo ejecutado, de ahí que a través de informes de avances se</w:t>
      </w:r>
      <w:r w:rsidR="002D7A3B">
        <w:rPr>
          <w:iCs/>
          <w:szCs w:val="24"/>
        </w:rPr>
        <w:t xml:space="preserve"> ha</w:t>
      </w:r>
      <w:r w:rsidRPr="002D7A3B">
        <w:rPr>
          <w:iCs/>
          <w:szCs w:val="24"/>
        </w:rPr>
        <w:t xml:space="preserve"> comunicado los posibles no devengados, en especial de proyectos de gran importancia institucional como lo son la modernización civil y electoral, que constituyen un gran esfuerzo por mejorar procesos sustanciales de la organización y en plano de flexibilidad de la administración en tanto los planes no son estáticos ni definitivos, ya se han tomado otras acciones en procura de recursos presupuestarios para honrar el compromiso no devengado que generarán dichos proyectos.</w:t>
      </w:r>
    </w:p>
    <w:p w:rsidR="00C932BE" w:rsidRPr="002D7A3B" w:rsidRDefault="00C932BE" w:rsidP="00491B96">
      <w:pPr>
        <w:pStyle w:val="Prrafodelista"/>
        <w:spacing w:after="120"/>
        <w:ind w:left="360"/>
        <w:jc w:val="both"/>
        <w:rPr>
          <w:iCs/>
          <w:szCs w:val="24"/>
        </w:rPr>
      </w:pPr>
    </w:p>
    <w:p w:rsidR="00A77894" w:rsidRPr="002D7A3B" w:rsidRDefault="00C56B75" w:rsidP="00491B96">
      <w:pPr>
        <w:pStyle w:val="Prrafodelista"/>
        <w:numPr>
          <w:ilvl w:val="0"/>
          <w:numId w:val="27"/>
        </w:numPr>
        <w:spacing w:after="120"/>
        <w:jc w:val="both"/>
        <w:rPr>
          <w:iCs/>
          <w:szCs w:val="24"/>
        </w:rPr>
      </w:pPr>
      <w:r w:rsidRPr="002D7A3B">
        <w:rPr>
          <w:szCs w:val="24"/>
        </w:rPr>
        <w:t xml:space="preserve">A nivel de lo que corresponde </w:t>
      </w:r>
      <w:r w:rsidR="00746AEC" w:rsidRPr="002D7A3B">
        <w:rPr>
          <w:szCs w:val="24"/>
        </w:rPr>
        <w:t xml:space="preserve">propiamente </w:t>
      </w:r>
      <w:r w:rsidRPr="002D7A3B">
        <w:rPr>
          <w:szCs w:val="24"/>
        </w:rPr>
        <w:t>al ámbito de las tecnologías de informaci</w:t>
      </w:r>
      <w:r w:rsidR="00746AEC" w:rsidRPr="002D7A3B">
        <w:rPr>
          <w:szCs w:val="24"/>
        </w:rPr>
        <w:t>ón,</w:t>
      </w:r>
      <w:r w:rsidRPr="002D7A3B">
        <w:rPr>
          <w:szCs w:val="24"/>
        </w:rPr>
        <w:t xml:space="preserve"> </w:t>
      </w:r>
      <w:r w:rsidR="00B57977" w:rsidRPr="002D7A3B">
        <w:rPr>
          <w:szCs w:val="24"/>
        </w:rPr>
        <w:t xml:space="preserve">el Departamento Tecnologías de Información y Comunicaciones como </w:t>
      </w:r>
      <w:r w:rsidR="00746AEC" w:rsidRPr="002D7A3B">
        <w:rPr>
          <w:szCs w:val="24"/>
        </w:rPr>
        <w:t>ente contralor de la administración de los recursos informáticos del TSE se encuentra actualizando algunos procedimientos donde se incluyen riesgos, plazos y el tratamiento respectivo</w:t>
      </w:r>
      <w:r w:rsidR="000D28EA" w:rsidRPr="002D7A3B">
        <w:rPr>
          <w:szCs w:val="24"/>
        </w:rPr>
        <w:t>,</w:t>
      </w:r>
      <w:r w:rsidR="00746AEC" w:rsidRPr="002D7A3B">
        <w:rPr>
          <w:szCs w:val="24"/>
        </w:rPr>
        <w:t xml:space="preserve"> con el fin de garantizar mejores controles para l</w:t>
      </w:r>
      <w:r w:rsidR="000716C8" w:rsidRPr="002D7A3B">
        <w:rPr>
          <w:szCs w:val="24"/>
        </w:rPr>
        <w:t>a</w:t>
      </w:r>
      <w:r w:rsidR="00746AEC" w:rsidRPr="002D7A3B">
        <w:rPr>
          <w:szCs w:val="24"/>
        </w:rPr>
        <w:t xml:space="preserve"> coordinación y supervisión de los citados recursos para satisfacer las necesidades de la institución. E</w:t>
      </w:r>
      <w:r w:rsidRPr="002D7A3B">
        <w:rPr>
          <w:szCs w:val="24"/>
        </w:rPr>
        <w:t xml:space="preserve">n general </w:t>
      </w:r>
      <w:r w:rsidR="00AB342B" w:rsidRPr="002D7A3B">
        <w:rPr>
          <w:szCs w:val="24"/>
        </w:rPr>
        <w:t xml:space="preserve">se han dispuesto acciones para evitar pérdida de información relevante en la Sección de Servicio al Cliente de TI, mediante el respaldo diario a los efectos de que la </w:t>
      </w:r>
      <w:r w:rsidR="00AB342B" w:rsidRPr="002D7A3B">
        <w:rPr>
          <w:iCs/>
          <w:szCs w:val="24"/>
        </w:rPr>
        <w:t>información se mantenga segura, accesible e integra</w:t>
      </w:r>
      <w:r w:rsidR="00746AEC" w:rsidRPr="002D7A3B">
        <w:rPr>
          <w:iCs/>
          <w:szCs w:val="24"/>
        </w:rPr>
        <w:t>, e i</w:t>
      </w:r>
      <w:r w:rsidR="00CE5DF2" w:rsidRPr="002D7A3B">
        <w:rPr>
          <w:iCs/>
          <w:szCs w:val="24"/>
        </w:rPr>
        <w:t xml:space="preserve">gualmente con el fin de evitar no contar con stock disponible de equipos para sustituir el que se encuentra en reparación, lo que provocaría el no cumplimiento de los objetivos de las diferentes unidades administrativas se mantiene un inventario de equipos que se actualiza constantemente para determinar </w:t>
      </w:r>
      <w:r w:rsidR="00CE5DF2" w:rsidRPr="002D7A3B">
        <w:rPr>
          <w:iCs/>
          <w:szCs w:val="24"/>
        </w:rPr>
        <w:lastRenderedPageBreak/>
        <w:t>lo obsoleto, así como cu</w:t>
      </w:r>
      <w:r w:rsidR="000D28EA" w:rsidRPr="002D7A3B">
        <w:rPr>
          <w:iCs/>
          <w:szCs w:val="24"/>
        </w:rPr>
        <w:t>á</w:t>
      </w:r>
      <w:r w:rsidR="00CE5DF2" w:rsidRPr="002D7A3B">
        <w:rPr>
          <w:iCs/>
          <w:szCs w:val="24"/>
        </w:rPr>
        <w:t>les equipos han fallado con mayor regularidad y de esta manera programar los cambios conforme a las disposiciones institucionales.</w:t>
      </w:r>
      <w:r w:rsidR="0091514D" w:rsidRPr="002D7A3B">
        <w:rPr>
          <w:iCs/>
          <w:szCs w:val="24"/>
        </w:rPr>
        <w:t xml:space="preserve"> Con respecto a la plataforma tecnológica de la infraestructura debe indicarse que hay algunas actividades de control cuya ejecución se ha pospue</w:t>
      </w:r>
      <w:r w:rsidR="000D28EA" w:rsidRPr="002D7A3B">
        <w:rPr>
          <w:iCs/>
          <w:szCs w:val="24"/>
        </w:rPr>
        <w:t>sto su realización a partir de este</w:t>
      </w:r>
      <w:r w:rsidR="0091514D" w:rsidRPr="002D7A3B">
        <w:rPr>
          <w:iCs/>
          <w:szCs w:val="24"/>
        </w:rPr>
        <w:t xml:space="preserve"> mes, </w:t>
      </w:r>
      <w:r w:rsidR="000D28EA" w:rsidRPr="002D7A3B">
        <w:rPr>
          <w:iCs/>
          <w:szCs w:val="24"/>
        </w:rPr>
        <w:t xml:space="preserve">sin embargo, ello será paulatinamente toda </w:t>
      </w:r>
      <w:r w:rsidR="0091514D" w:rsidRPr="002D7A3B">
        <w:rPr>
          <w:iCs/>
          <w:szCs w:val="24"/>
        </w:rPr>
        <w:t xml:space="preserve">vez </w:t>
      </w:r>
      <w:r w:rsidR="000D28EA" w:rsidRPr="002D7A3B">
        <w:rPr>
          <w:iCs/>
          <w:szCs w:val="24"/>
        </w:rPr>
        <w:t>que se debe dar la prioridad respectiva al proceso e</w:t>
      </w:r>
      <w:r w:rsidR="0091514D" w:rsidRPr="002D7A3B">
        <w:rPr>
          <w:iCs/>
          <w:szCs w:val="24"/>
        </w:rPr>
        <w:t>lectoral</w:t>
      </w:r>
      <w:r w:rsidR="000D28EA" w:rsidRPr="002D7A3B">
        <w:rPr>
          <w:iCs/>
          <w:szCs w:val="24"/>
        </w:rPr>
        <w:t xml:space="preserve"> de segunda ronda</w:t>
      </w:r>
      <w:r w:rsidR="0091514D" w:rsidRPr="002D7A3B">
        <w:rPr>
          <w:iCs/>
          <w:szCs w:val="24"/>
        </w:rPr>
        <w:t>; asimismo, es de interés comentar que con la finalidad de procurar la correcta continuidad del negocio se vela para que los mantenimientos preventivos y correctos de equipos tales como servidores y de comunicación se realicen de confor</w:t>
      </w:r>
      <w:r w:rsidR="00B57977" w:rsidRPr="002D7A3B">
        <w:rPr>
          <w:iCs/>
          <w:szCs w:val="24"/>
        </w:rPr>
        <w:t>midad con las condiciones</w:t>
      </w:r>
      <w:r w:rsidR="0091514D" w:rsidRPr="002D7A3B">
        <w:rPr>
          <w:iCs/>
          <w:szCs w:val="24"/>
        </w:rPr>
        <w:t xml:space="preserve"> contractuales previamente pactad</w:t>
      </w:r>
      <w:r w:rsidR="00B57977" w:rsidRPr="002D7A3B">
        <w:rPr>
          <w:iCs/>
          <w:szCs w:val="24"/>
        </w:rPr>
        <w:t>os según términos y tiempos de atención requeridos por la administración. E</w:t>
      </w:r>
      <w:r w:rsidR="001A754B" w:rsidRPr="002D7A3B">
        <w:rPr>
          <w:iCs/>
          <w:szCs w:val="24"/>
        </w:rPr>
        <w:t>n cuanto a</w:t>
      </w:r>
      <w:r w:rsidR="00524E40" w:rsidRPr="002D7A3B">
        <w:rPr>
          <w:iCs/>
          <w:szCs w:val="24"/>
        </w:rPr>
        <w:t xml:space="preserve"> la gestión de </w:t>
      </w:r>
      <w:r w:rsidR="00524E40" w:rsidRPr="002D7A3B">
        <w:rPr>
          <w:rFonts w:cs="Arial"/>
          <w:szCs w:val="24"/>
        </w:rPr>
        <w:t>soluciones integrales para el mejoramiento de los sistemas que soportan los procesos de la institució</w:t>
      </w:r>
      <w:r w:rsidR="00D86C8F" w:rsidRPr="002D7A3B">
        <w:rPr>
          <w:rFonts w:cs="Arial"/>
          <w:szCs w:val="24"/>
        </w:rPr>
        <w:t xml:space="preserve">n, la Sección de Ingeniería de Software dispuso la creación de un instrumento útil para sus propósitos, a los efectos de estimar el esfuerzo y del tamaño de las diversas tareas reflejadas en los proyectos, procurando realizar una correcta clasificación de los casos de uso cuya definición se realiza con base en la información suministrada por el personal usuario del documento de visión, así como de reuniones </w:t>
      </w:r>
      <w:r w:rsidR="00D86C8F" w:rsidRPr="002D7A3B">
        <w:rPr>
          <w:iCs/>
          <w:szCs w:val="24"/>
        </w:rPr>
        <w:t>conjuntas con personas arquitectas y desarrolladoras de ingeniería de software</w:t>
      </w:r>
      <w:r w:rsidR="00CE663A" w:rsidRPr="002D7A3B">
        <w:rPr>
          <w:iCs/>
          <w:szCs w:val="24"/>
        </w:rPr>
        <w:t>; al respecto, si bien se implementó el instrumento citado, todavía no se dispone de una herramienta metodológica para medir el impacto y el esfuerzo que implica una solicitud de cambio, de ahí que se tenga pendiente la realización de un estudio para proponer una metodología para esos fines, lo cual se espera atender una vez que concluya el próximo proceso electoral nacional</w:t>
      </w:r>
      <w:r w:rsidR="00491B96" w:rsidRPr="002D7A3B">
        <w:rPr>
          <w:iCs/>
          <w:szCs w:val="24"/>
        </w:rPr>
        <w:t xml:space="preserve"> en segunda ronda</w:t>
      </w:r>
      <w:r w:rsidR="00FA6C31" w:rsidRPr="002D7A3B">
        <w:rPr>
          <w:iCs/>
          <w:szCs w:val="24"/>
        </w:rPr>
        <w:t>.</w:t>
      </w:r>
    </w:p>
    <w:p w:rsidR="00F81152" w:rsidRPr="002D7A3B" w:rsidRDefault="00F81152" w:rsidP="00491B96">
      <w:pPr>
        <w:pStyle w:val="Prrafodelista"/>
        <w:spacing w:after="120"/>
        <w:ind w:left="360"/>
        <w:jc w:val="both"/>
        <w:rPr>
          <w:iCs/>
          <w:szCs w:val="24"/>
        </w:rPr>
      </w:pPr>
    </w:p>
    <w:p w:rsidR="00F41160" w:rsidRPr="004A4DFE" w:rsidRDefault="00F41160" w:rsidP="00B11F81">
      <w:pPr>
        <w:suppressAutoHyphens/>
        <w:spacing w:before="480"/>
        <w:ind w:left="4247"/>
        <w:jc w:val="both"/>
        <w:rPr>
          <w:rFonts w:cs="Arial"/>
          <w:szCs w:val="24"/>
          <w:lang w:val="es-MX"/>
        </w:rPr>
      </w:pPr>
      <w:r w:rsidRPr="004A4DFE">
        <w:rPr>
          <w:rFonts w:cs="Arial"/>
          <w:szCs w:val="24"/>
          <w:lang w:val="es-MX"/>
        </w:rPr>
        <w:t>Atentamente,</w:t>
      </w:r>
    </w:p>
    <w:p w:rsidR="00F41160" w:rsidRPr="004A4DFE" w:rsidRDefault="00F41160" w:rsidP="00B11F81">
      <w:pPr>
        <w:suppressAutoHyphens/>
        <w:ind w:left="4248"/>
        <w:jc w:val="both"/>
        <w:rPr>
          <w:rFonts w:cs="Arial"/>
          <w:szCs w:val="24"/>
          <w:lang w:val="es-MX"/>
        </w:rPr>
      </w:pPr>
    </w:p>
    <w:p w:rsidR="006E376F" w:rsidRDefault="006E376F" w:rsidP="00B11F81">
      <w:pPr>
        <w:suppressAutoHyphens/>
        <w:ind w:left="4248"/>
        <w:jc w:val="both"/>
        <w:rPr>
          <w:rFonts w:cs="Arial"/>
          <w:szCs w:val="24"/>
          <w:lang w:val="es-MX"/>
        </w:rPr>
      </w:pPr>
    </w:p>
    <w:p w:rsidR="00491B96" w:rsidRDefault="00491B96" w:rsidP="00B11F81">
      <w:pPr>
        <w:suppressAutoHyphens/>
        <w:ind w:left="4248"/>
        <w:jc w:val="both"/>
        <w:rPr>
          <w:rFonts w:cs="Arial"/>
          <w:szCs w:val="24"/>
          <w:lang w:val="es-MX"/>
        </w:rPr>
      </w:pPr>
    </w:p>
    <w:p w:rsidR="00491B96" w:rsidRPr="004A4DFE" w:rsidRDefault="00491B96" w:rsidP="00B11F81">
      <w:pPr>
        <w:suppressAutoHyphens/>
        <w:ind w:left="4248"/>
        <w:jc w:val="both"/>
        <w:rPr>
          <w:rFonts w:cs="Arial"/>
          <w:szCs w:val="24"/>
          <w:lang w:val="es-MX"/>
        </w:rPr>
      </w:pPr>
    </w:p>
    <w:p w:rsidR="00F41160" w:rsidRPr="004A4DFE" w:rsidRDefault="00491B96" w:rsidP="00B11F81">
      <w:pPr>
        <w:pStyle w:val="Ttulo5"/>
        <w:tabs>
          <w:tab w:val="clear" w:pos="709"/>
        </w:tabs>
        <w:ind w:left="4248" w:right="-2"/>
        <w:jc w:val="left"/>
        <w:rPr>
          <w:rFonts w:cs="Arial"/>
          <w:b w:val="0"/>
          <w:i w:val="0"/>
          <w:sz w:val="24"/>
          <w:szCs w:val="24"/>
        </w:rPr>
      </w:pPr>
      <w:r>
        <w:rPr>
          <w:rFonts w:cs="Arial"/>
          <w:b w:val="0"/>
          <w:i w:val="0"/>
          <w:sz w:val="24"/>
          <w:szCs w:val="24"/>
        </w:rPr>
        <w:t xml:space="preserve">Licda. </w:t>
      </w:r>
      <w:r w:rsidR="005D7587" w:rsidRPr="004A4DFE">
        <w:rPr>
          <w:rFonts w:cs="Arial"/>
          <w:b w:val="0"/>
          <w:i w:val="0"/>
          <w:sz w:val="24"/>
          <w:szCs w:val="24"/>
        </w:rPr>
        <w:t>Armenia Mas</w:t>
      </w:r>
      <w:r w:rsidR="00AE14CB" w:rsidRPr="004A4DFE">
        <w:rPr>
          <w:rFonts w:cs="Arial"/>
          <w:b w:val="0"/>
          <w:i w:val="0"/>
          <w:sz w:val="24"/>
          <w:szCs w:val="24"/>
        </w:rPr>
        <w:t>í</w:t>
      </w:r>
      <w:r w:rsidR="005D7587" w:rsidRPr="004A4DFE">
        <w:rPr>
          <w:rFonts w:cs="Arial"/>
          <w:b w:val="0"/>
          <w:i w:val="0"/>
          <w:sz w:val="24"/>
          <w:szCs w:val="24"/>
        </w:rPr>
        <w:t>s Soto</w:t>
      </w:r>
    </w:p>
    <w:p w:rsidR="00F41160" w:rsidRPr="004A4DFE" w:rsidRDefault="00F41160" w:rsidP="00B11F81">
      <w:pPr>
        <w:pStyle w:val="Ttulo5"/>
        <w:tabs>
          <w:tab w:val="clear" w:pos="709"/>
        </w:tabs>
        <w:ind w:left="4248" w:right="-2"/>
        <w:jc w:val="left"/>
        <w:rPr>
          <w:rFonts w:cs="Arial"/>
          <w:b w:val="0"/>
          <w:i w:val="0"/>
          <w:iCs/>
          <w:sz w:val="24"/>
          <w:szCs w:val="24"/>
        </w:rPr>
      </w:pPr>
      <w:r w:rsidRPr="004A4DFE">
        <w:rPr>
          <w:rFonts w:cs="Arial"/>
          <w:b w:val="0"/>
          <w:i w:val="0"/>
          <w:sz w:val="24"/>
          <w:szCs w:val="24"/>
        </w:rPr>
        <w:t>Director</w:t>
      </w:r>
      <w:r w:rsidR="005D7587" w:rsidRPr="004A4DFE">
        <w:rPr>
          <w:rFonts w:cs="Arial"/>
          <w:b w:val="0"/>
          <w:i w:val="0"/>
          <w:sz w:val="24"/>
          <w:szCs w:val="24"/>
        </w:rPr>
        <w:t>a</w:t>
      </w:r>
      <w:r w:rsidRPr="004A4DFE">
        <w:rPr>
          <w:rFonts w:cs="Arial"/>
          <w:b w:val="0"/>
          <w:i w:val="0"/>
          <w:sz w:val="24"/>
          <w:szCs w:val="24"/>
        </w:rPr>
        <w:t xml:space="preserve"> General</w:t>
      </w:r>
      <w:r w:rsidR="005D7587" w:rsidRPr="004A4DFE">
        <w:rPr>
          <w:rFonts w:cs="Arial"/>
          <w:b w:val="0"/>
          <w:i w:val="0"/>
          <w:sz w:val="24"/>
          <w:szCs w:val="24"/>
        </w:rPr>
        <w:t xml:space="preserve"> a.i.</w:t>
      </w:r>
    </w:p>
    <w:p w:rsidR="006E376F" w:rsidRDefault="006E376F" w:rsidP="00F41160">
      <w:pPr>
        <w:spacing w:line="276" w:lineRule="auto"/>
        <w:jc w:val="both"/>
        <w:rPr>
          <w:rFonts w:cs="Arial"/>
          <w:sz w:val="18"/>
        </w:rPr>
      </w:pPr>
    </w:p>
    <w:p w:rsidR="00491B96" w:rsidRDefault="00491B96" w:rsidP="00F41160">
      <w:pPr>
        <w:spacing w:line="276" w:lineRule="auto"/>
        <w:jc w:val="both"/>
        <w:rPr>
          <w:rFonts w:cs="Arial"/>
          <w:sz w:val="18"/>
        </w:rPr>
      </w:pPr>
    </w:p>
    <w:p w:rsidR="00491B96" w:rsidRDefault="00491B96" w:rsidP="00F41160">
      <w:pPr>
        <w:spacing w:line="276" w:lineRule="auto"/>
        <w:jc w:val="both"/>
        <w:rPr>
          <w:rFonts w:cs="Arial"/>
          <w:sz w:val="18"/>
        </w:rPr>
      </w:pPr>
    </w:p>
    <w:p w:rsidR="00F41160" w:rsidRPr="00291A42" w:rsidRDefault="005D7587" w:rsidP="00F41160">
      <w:pPr>
        <w:spacing w:line="276" w:lineRule="auto"/>
        <w:jc w:val="both"/>
        <w:rPr>
          <w:rFonts w:cs="Arial"/>
          <w:sz w:val="18"/>
        </w:rPr>
      </w:pPr>
      <w:r w:rsidRPr="00291A42">
        <w:rPr>
          <w:rFonts w:cs="Arial"/>
          <w:sz w:val="18"/>
        </w:rPr>
        <w:t>AMS</w:t>
      </w:r>
      <w:r w:rsidR="00097886">
        <w:rPr>
          <w:rFonts w:cs="Arial"/>
          <w:sz w:val="18"/>
        </w:rPr>
        <w:t>/mem</w:t>
      </w:r>
    </w:p>
    <w:sectPr w:rsidR="00F41160" w:rsidRPr="00291A42" w:rsidSect="00754DB3">
      <w:headerReference w:type="default" r:id="rId9"/>
      <w:footerReference w:type="even" r:id="rId10"/>
      <w:footerReference w:type="default" r:id="rId11"/>
      <w:headerReference w:type="first" r:id="rId12"/>
      <w:footerReference w:type="first" r:id="rId13"/>
      <w:pgSz w:w="12240" w:h="15840" w:code="1"/>
      <w:pgMar w:top="1418" w:right="1418" w:bottom="1588" w:left="1418" w:header="851" w:footer="42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DA3" w:rsidRDefault="00891DA3">
      <w:r>
        <w:separator/>
      </w:r>
    </w:p>
  </w:endnote>
  <w:endnote w:type="continuationSeparator" w:id="0">
    <w:p w:rsidR="00891DA3" w:rsidRDefault="0089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rizQuadrata BT">
    <w:altName w:val="Lucida Sans Unicode"/>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88" w:rsidRDefault="006B228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B2288" w:rsidRDefault="006B228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BE" w:rsidRPr="00774499" w:rsidRDefault="004550BE" w:rsidP="004550BE">
    <w:pPr>
      <w:pBdr>
        <w:top w:val="single" w:sz="4" w:space="1" w:color="auto"/>
      </w:pBdr>
      <w:jc w:val="center"/>
      <w:rPr>
        <w:rFonts w:cs="Arial"/>
        <w:b/>
        <w:sz w:val="20"/>
      </w:rPr>
    </w:pPr>
    <w:r>
      <w:rPr>
        <w:rFonts w:cs="Arial"/>
        <w:b/>
        <w:sz w:val="20"/>
      </w:rPr>
      <w:t>Dirección General de Estrategia Tecnológica</w:t>
    </w:r>
  </w:p>
  <w:p w:rsidR="004550BE" w:rsidRPr="00774499" w:rsidRDefault="004550BE" w:rsidP="004550BE">
    <w:pPr>
      <w:jc w:val="center"/>
      <w:rPr>
        <w:rFonts w:cs="Arial"/>
        <w:sz w:val="20"/>
      </w:rPr>
    </w:pPr>
    <w:r w:rsidRPr="00774499">
      <w:rPr>
        <w:rFonts w:cs="Arial"/>
        <w:sz w:val="20"/>
      </w:rPr>
      <w:t>Costado oeste del Parque Nacional, Apdo. 2163-1000, San José, Costa Rica</w:t>
    </w:r>
  </w:p>
  <w:p w:rsidR="004550BE" w:rsidRPr="00FD5C6D" w:rsidRDefault="004550BE" w:rsidP="004550BE">
    <w:pPr>
      <w:jc w:val="center"/>
      <w:rPr>
        <w:rFonts w:cs="Arial"/>
        <w:sz w:val="20"/>
        <w:lang w:val="pt-BR"/>
      </w:rPr>
    </w:pPr>
    <w:r w:rsidRPr="00774499">
      <w:rPr>
        <w:rFonts w:cs="Arial"/>
        <w:sz w:val="20"/>
        <w:lang w:val="es-ES"/>
      </w:rPr>
      <w:t xml:space="preserve">Teléfono: </w:t>
    </w:r>
    <w:r w:rsidRPr="00B45619">
      <w:rPr>
        <w:rFonts w:cs="Arial"/>
        <w:sz w:val="20"/>
        <w:lang w:val="pt-BR"/>
      </w:rPr>
      <w:t>2287-5</w:t>
    </w:r>
    <w:r>
      <w:rPr>
        <w:rFonts w:cs="Arial"/>
        <w:sz w:val="20"/>
        <w:lang w:val="pt-BR"/>
      </w:rPr>
      <w:t xml:space="preserve">881 / Ext.(uso interno): 3331 </w:t>
    </w:r>
    <w:r w:rsidRPr="00774499">
      <w:rPr>
        <w:rFonts w:cs="Arial"/>
        <w:sz w:val="20"/>
        <w:lang w:val="es-ES"/>
      </w:rPr>
      <w:t xml:space="preserve">• Fax: </w:t>
    </w:r>
    <w:r w:rsidRPr="004550BE">
      <w:rPr>
        <w:rFonts w:cs="Arial"/>
        <w:sz w:val="20"/>
        <w:lang w:val="es-ES"/>
      </w:rPr>
      <w:t>2287</w:t>
    </w:r>
    <w:r>
      <w:rPr>
        <w:rFonts w:cs="Arial"/>
        <w:sz w:val="20"/>
        <w:lang w:val="es-ES"/>
      </w:rPr>
      <w:t>-</w:t>
    </w:r>
    <w:r w:rsidRPr="004550BE">
      <w:rPr>
        <w:rFonts w:cs="Arial"/>
        <w:sz w:val="20"/>
        <w:lang w:val="es-ES"/>
      </w:rPr>
      <w:t>5701</w:t>
    </w:r>
    <w:r>
      <w:rPr>
        <w:rFonts w:cs="Arial"/>
        <w:sz w:val="20"/>
        <w:lang w:val="es-ES"/>
      </w:rPr>
      <w:t xml:space="preserve"> </w:t>
    </w:r>
    <w:r w:rsidRPr="00774499">
      <w:rPr>
        <w:rFonts w:cs="Arial"/>
        <w:sz w:val="20"/>
        <w:lang w:val="es-ES"/>
      </w:rPr>
      <w:t>•</w:t>
    </w:r>
    <w:r>
      <w:rPr>
        <w:rFonts w:cs="Arial"/>
        <w:sz w:val="20"/>
        <w:lang w:val="es-ES"/>
      </w:rPr>
      <w:t xml:space="preserve"> E-mail: </w:t>
    </w:r>
    <w:r w:rsidR="00FC21EF">
      <w:rPr>
        <w:rFonts w:cs="Arial"/>
        <w:sz w:val="20"/>
        <w:lang w:val="es-ES"/>
      </w:rPr>
      <w:t>amasis</w:t>
    </w:r>
    <w:r>
      <w:rPr>
        <w:rFonts w:cs="Arial"/>
        <w:sz w:val="20"/>
        <w:lang w:val="es-ES"/>
      </w:rPr>
      <w:t>@tse.go.cr</w:t>
    </w:r>
  </w:p>
  <w:p w:rsidR="006B2288" w:rsidRPr="0083303D" w:rsidRDefault="006B2288" w:rsidP="007D17DC">
    <w:pPr>
      <w:pStyle w:val="Piedepgina"/>
      <w:jc w:val="center"/>
      <w:rPr>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176" w:rsidRPr="00774499" w:rsidRDefault="00AD6176" w:rsidP="00AD6176">
    <w:pPr>
      <w:pBdr>
        <w:top w:val="single" w:sz="4" w:space="1" w:color="auto"/>
      </w:pBdr>
      <w:jc w:val="center"/>
      <w:rPr>
        <w:rFonts w:cs="Arial"/>
        <w:b/>
        <w:sz w:val="20"/>
      </w:rPr>
    </w:pPr>
    <w:r>
      <w:rPr>
        <w:rFonts w:cs="Arial"/>
        <w:b/>
        <w:sz w:val="20"/>
      </w:rPr>
      <w:t>Dirección General de Estrategia Tecnológica</w:t>
    </w:r>
  </w:p>
  <w:p w:rsidR="00AD6176" w:rsidRPr="00774499" w:rsidRDefault="00AD6176" w:rsidP="00AD6176">
    <w:pPr>
      <w:jc w:val="center"/>
      <w:rPr>
        <w:rFonts w:cs="Arial"/>
        <w:sz w:val="20"/>
      </w:rPr>
    </w:pPr>
    <w:r w:rsidRPr="00774499">
      <w:rPr>
        <w:rFonts w:cs="Arial"/>
        <w:sz w:val="20"/>
      </w:rPr>
      <w:t>Costado oeste del Parque Nacional, Apdo. 2163-1000, San José, Costa Rica</w:t>
    </w:r>
  </w:p>
  <w:p w:rsidR="00AD6176" w:rsidRPr="00FD5C6D" w:rsidRDefault="00AD6176" w:rsidP="00AD6176">
    <w:pPr>
      <w:jc w:val="center"/>
      <w:rPr>
        <w:rFonts w:cs="Arial"/>
        <w:sz w:val="20"/>
        <w:lang w:val="pt-BR"/>
      </w:rPr>
    </w:pPr>
    <w:r w:rsidRPr="00774499">
      <w:rPr>
        <w:rFonts w:cs="Arial"/>
        <w:sz w:val="20"/>
        <w:lang w:val="es-ES"/>
      </w:rPr>
      <w:t xml:space="preserve">Teléfono: </w:t>
    </w:r>
    <w:r w:rsidR="007C6848" w:rsidRPr="00B45619">
      <w:rPr>
        <w:rFonts w:cs="Arial"/>
        <w:sz w:val="20"/>
        <w:lang w:val="pt-BR"/>
      </w:rPr>
      <w:t>2287-5</w:t>
    </w:r>
    <w:r w:rsidR="007C6848">
      <w:rPr>
        <w:rFonts w:cs="Arial"/>
        <w:sz w:val="20"/>
        <w:lang w:val="pt-BR"/>
      </w:rPr>
      <w:t xml:space="preserve">881 / Ext.(uso interno): 3331 </w:t>
    </w:r>
    <w:r w:rsidRPr="00774499">
      <w:rPr>
        <w:rFonts w:cs="Arial"/>
        <w:sz w:val="20"/>
        <w:lang w:val="es-ES"/>
      </w:rPr>
      <w:t xml:space="preserve">• Fax: </w:t>
    </w:r>
    <w:r w:rsidR="004550BE" w:rsidRPr="004550BE">
      <w:rPr>
        <w:rFonts w:cs="Arial"/>
        <w:sz w:val="20"/>
        <w:lang w:val="es-ES"/>
      </w:rPr>
      <w:t>2287</w:t>
    </w:r>
    <w:r w:rsidR="004550BE">
      <w:rPr>
        <w:rFonts w:cs="Arial"/>
        <w:sz w:val="20"/>
        <w:lang w:val="es-ES"/>
      </w:rPr>
      <w:t>-</w:t>
    </w:r>
    <w:r w:rsidR="004550BE" w:rsidRPr="004550BE">
      <w:rPr>
        <w:rFonts w:cs="Arial"/>
        <w:sz w:val="20"/>
        <w:lang w:val="es-ES"/>
      </w:rPr>
      <w:t>5701</w:t>
    </w:r>
    <w:r w:rsidR="004550BE">
      <w:rPr>
        <w:rFonts w:cs="Arial"/>
        <w:sz w:val="20"/>
        <w:lang w:val="es-ES"/>
      </w:rPr>
      <w:t xml:space="preserve"> </w:t>
    </w:r>
    <w:r w:rsidRPr="00774499">
      <w:rPr>
        <w:rFonts w:cs="Arial"/>
        <w:sz w:val="20"/>
        <w:lang w:val="es-ES"/>
      </w:rPr>
      <w:t>•</w:t>
    </w:r>
    <w:r>
      <w:rPr>
        <w:rFonts w:cs="Arial"/>
        <w:sz w:val="20"/>
        <w:lang w:val="es-ES"/>
      </w:rPr>
      <w:t xml:space="preserve"> E-mail: </w:t>
    </w:r>
    <w:r w:rsidR="005B4B98">
      <w:rPr>
        <w:rFonts w:cs="Arial"/>
        <w:sz w:val="20"/>
        <w:lang w:val="es-ES"/>
      </w:rPr>
      <w:t>amasis</w:t>
    </w:r>
    <w:r>
      <w:rPr>
        <w:rFonts w:cs="Arial"/>
        <w:sz w:val="20"/>
        <w:lang w:val="es-ES"/>
      </w:rPr>
      <w:t>@tse.go.cr</w:t>
    </w:r>
  </w:p>
  <w:p w:rsidR="006B2288" w:rsidRPr="00AD6176" w:rsidRDefault="006B2288" w:rsidP="00F100CF">
    <w:pPr>
      <w:pStyle w:val="Piedepgina"/>
      <w:jc w:val="center"/>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DA3" w:rsidRDefault="00891DA3">
      <w:r>
        <w:separator/>
      </w:r>
    </w:p>
  </w:footnote>
  <w:footnote w:type="continuationSeparator" w:id="0">
    <w:p w:rsidR="00891DA3" w:rsidRDefault="00891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88" w:rsidRPr="00D805AB" w:rsidRDefault="003B01A0" w:rsidP="00BF220C">
    <w:pPr>
      <w:tabs>
        <w:tab w:val="left" w:pos="5387"/>
      </w:tabs>
      <w:ind w:right="-2"/>
      <w:jc w:val="right"/>
      <w:rPr>
        <w:rFonts w:ascii="Tahoma" w:hAnsi="Tahoma" w:cs="Tahoma"/>
        <w:b/>
        <w:bCs/>
        <w:sz w:val="26"/>
        <w:szCs w:val="26"/>
      </w:rPr>
    </w:pPr>
    <w:r>
      <w:rPr>
        <w:noProof/>
        <w:lang w:eastAsia="es-CR"/>
      </w:rPr>
      <w:drawing>
        <wp:anchor distT="0" distB="0" distL="114300" distR="114300" simplePos="0" relativeHeight="251657216" behindDoc="1" locked="0" layoutInCell="1" allowOverlap="1" wp14:anchorId="551295EC" wp14:editId="450E60F7">
          <wp:simplePos x="0" y="0"/>
          <wp:positionH relativeFrom="column">
            <wp:posOffset>-48895</wp:posOffset>
          </wp:positionH>
          <wp:positionV relativeFrom="paragraph">
            <wp:posOffset>-194945</wp:posOffset>
          </wp:positionV>
          <wp:extent cx="1554480" cy="909320"/>
          <wp:effectExtent l="0" t="0" r="7620" b="5080"/>
          <wp:wrapTopAndBottom/>
          <wp:docPr id="3" name="Imagen 1"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11BA" w:rsidRDefault="000C11BA" w:rsidP="001D25AE">
    <w:pPr>
      <w:pStyle w:val="Nombredireccininterior"/>
      <w:spacing w:before="240" w:line="240" w:lineRule="auto"/>
      <w:rPr>
        <w:rFonts w:cs="Arial"/>
        <w:sz w:val="20"/>
        <w:lang w:val="es-CR"/>
      </w:rPr>
    </w:pPr>
  </w:p>
  <w:p w:rsidR="000C11BA" w:rsidRDefault="000C11BA" w:rsidP="001D25AE">
    <w:pPr>
      <w:pStyle w:val="Nombredireccininterior"/>
      <w:spacing w:before="240" w:line="240" w:lineRule="auto"/>
      <w:rPr>
        <w:rFonts w:cs="Arial"/>
        <w:sz w:val="20"/>
        <w:lang w:val="es-CR"/>
      </w:rPr>
    </w:pPr>
  </w:p>
  <w:p w:rsidR="006B2288" w:rsidRPr="00702B40" w:rsidRDefault="00491B96" w:rsidP="001D25AE">
    <w:pPr>
      <w:pStyle w:val="Nombredireccininterior"/>
      <w:spacing w:before="240" w:line="240" w:lineRule="auto"/>
      <w:rPr>
        <w:rFonts w:cs="Arial"/>
        <w:sz w:val="20"/>
        <w:lang w:val="es-CR"/>
      </w:rPr>
    </w:pPr>
    <w:r>
      <w:rPr>
        <w:rFonts w:cs="Arial"/>
        <w:sz w:val="20"/>
        <w:lang w:val="es-CR"/>
      </w:rPr>
      <w:t>6</w:t>
    </w:r>
    <w:r w:rsidR="00F41160">
      <w:rPr>
        <w:rFonts w:cs="Arial"/>
        <w:sz w:val="20"/>
        <w:lang w:val="es-CR"/>
      </w:rPr>
      <w:t xml:space="preserve"> de </w:t>
    </w:r>
    <w:r>
      <w:rPr>
        <w:rFonts w:cs="Arial"/>
        <w:sz w:val="20"/>
        <w:lang w:val="es-CR"/>
      </w:rPr>
      <w:t>f</w:t>
    </w:r>
    <w:r w:rsidR="00EB51DD">
      <w:rPr>
        <w:rFonts w:cs="Arial"/>
        <w:sz w:val="20"/>
        <w:lang w:val="es-CR"/>
      </w:rPr>
      <w:t>e</w:t>
    </w:r>
    <w:r>
      <w:rPr>
        <w:rFonts w:cs="Arial"/>
        <w:sz w:val="20"/>
        <w:lang w:val="es-CR"/>
      </w:rPr>
      <w:t>bre</w:t>
    </w:r>
    <w:r w:rsidR="00EB51DD">
      <w:rPr>
        <w:rFonts w:cs="Arial"/>
        <w:sz w:val="20"/>
        <w:lang w:val="es-CR"/>
      </w:rPr>
      <w:t>ro</w:t>
    </w:r>
    <w:r w:rsidR="00F41160">
      <w:rPr>
        <w:rFonts w:cs="Arial"/>
        <w:sz w:val="20"/>
        <w:lang w:val="es-CR"/>
      </w:rPr>
      <w:t xml:space="preserve"> de 201</w:t>
    </w:r>
    <w:r w:rsidR="00EB51DD">
      <w:rPr>
        <w:rFonts w:cs="Arial"/>
        <w:sz w:val="20"/>
        <w:lang w:val="es-CR"/>
      </w:rPr>
      <w:t>4</w:t>
    </w:r>
  </w:p>
  <w:p w:rsidR="006B2288" w:rsidRPr="00702B40" w:rsidRDefault="00AD6176" w:rsidP="00D805AB">
    <w:pPr>
      <w:pStyle w:val="Nombredireccininterior"/>
      <w:spacing w:before="0" w:line="240" w:lineRule="auto"/>
      <w:rPr>
        <w:rFonts w:cs="Arial"/>
        <w:bCs/>
        <w:sz w:val="20"/>
        <w:lang w:val="pt-BR"/>
      </w:rPr>
    </w:pPr>
    <w:r>
      <w:rPr>
        <w:rFonts w:cs="Arial"/>
        <w:bCs/>
        <w:sz w:val="20"/>
        <w:lang w:val="pt-BR"/>
      </w:rPr>
      <w:t>DGET</w:t>
    </w:r>
    <w:r w:rsidR="006B2288" w:rsidRPr="00702B40">
      <w:rPr>
        <w:rFonts w:cs="Arial"/>
        <w:bCs/>
        <w:sz w:val="20"/>
        <w:lang w:val="pt-BR"/>
      </w:rPr>
      <w:t>-</w:t>
    </w:r>
    <w:r w:rsidR="00491B96">
      <w:rPr>
        <w:rFonts w:cs="Arial"/>
        <w:bCs/>
        <w:sz w:val="20"/>
        <w:lang w:val="pt-BR"/>
      </w:rPr>
      <w:t>030</w:t>
    </w:r>
    <w:r w:rsidR="001C1611" w:rsidRPr="00702B40">
      <w:rPr>
        <w:rFonts w:cs="Arial"/>
        <w:bCs/>
        <w:sz w:val="20"/>
        <w:lang w:val="pt-BR"/>
      </w:rPr>
      <w:t>-20</w:t>
    </w:r>
    <w:r w:rsidR="00F41160">
      <w:rPr>
        <w:sz w:val="20"/>
      </w:rPr>
      <w:t>1</w:t>
    </w:r>
    <w:r w:rsidR="00EB51DD">
      <w:rPr>
        <w:sz w:val="20"/>
      </w:rPr>
      <w:t>4</w:t>
    </w:r>
  </w:p>
  <w:p w:rsidR="006B2288" w:rsidRPr="00702B40" w:rsidRDefault="00F41160" w:rsidP="00D805AB">
    <w:pPr>
      <w:pStyle w:val="Nombredireccininterior"/>
      <w:spacing w:before="0" w:line="240" w:lineRule="auto"/>
      <w:rPr>
        <w:rFonts w:cs="Arial"/>
        <w:sz w:val="20"/>
        <w:lang w:val="es-CR"/>
      </w:rPr>
    </w:pPr>
    <w:r>
      <w:rPr>
        <w:rFonts w:cs="Arial"/>
        <w:sz w:val="20"/>
        <w:lang w:val="es-CR"/>
      </w:rPr>
      <w:t xml:space="preserve">Lic. </w:t>
    </w:r>
    <w:r w:rsidR="00DD28B0">
      <w:rPr>
        <w:rFonts w:cs="Arial"/>
        <w:sz w:val="20"/>
        <w:lang w:val="es-CR"/>
      </w:rPr>
      <w:t>Francisco Rodríguez Siles</w:t>
    </w:r>
  </w:p>
  <w:p w:rsidR="006B2288" w:rsidRPr="00702B40" w:rsidRDefault="006B2288" w:rsidP="00D805AB">
    <w:pPr>
      <w:rPr>
        <w:rFonts w:cs="Arial"/>
        <w:sz w:val="20"/>
      </w:rPr>
    </w:pPr>
    <w:r w:rsidRPr="00702B40">
      <w:rPr>
        <w:rFonts w:cs="Arial"/>
        <w:sz w:val="20"/>
      </w:rPr>
      <w:t xml:space="preserve">Página:  </w:t>
    </w:r>
    <w:r w:rsidRPr="00702B40">
      <w:rPr>
        <w:rStyle w:val="Nmerodepgina"/>
        <w:rFonts w:cs="Arial"/>
        <w:sz w:val="20"/>
      </w:rPr>
      <w:fldChar w:fldCharType="begin"/>
    </w:r>
    <w:r w:rsidRPr="00F41160">
      <w:rPr>
        <w:rStyle w:val="Nmerodepgina"/>
        <w:rFonts w:cs="Arial"/>
        <w:sz w:val="20"/>
        <w:lang w:val="es-CR"/>
      </w:rPr>
      <w:instrText xml:space="preserve"> PAGE </w:instrText>
    </w:r>
    <w:r w:rsidRPr="00702B40">
      <w:rPr>
        <w:rStyle w:val="Nmerodepgina"/>
        <w:rFonts w:cs="Arial"/>
        <w:sz w:val="20"/>
      </w:rPr>
      <w:fldChar w:fldCharType="separate"/>
    </w:r>
    <w:r w:rsidR="009D753B">
      <w:rPr>
        <w:rStyle w:val="Nmerodepgina"/>
        <w:rFonts w:cs="Arial"/>
        <w:noProof/>
        <w:sz w:val="20"/>
        <w:lang w:val="es-CR"/>
      </w:rPr>
      <w:t>4</w:t>
    </w:r>
    <w:r w:rsidRPr="00702B40">
      <w:rPr>
        <w:rStyle w:val="Nmerodepgina"/>
        <w:rFonts w:cs="Arial"/>
        <w:sz w:val="20"/>
      </w:rPr>
      <w:fldChar w:fldCharType="end"/>
    </w:r>
  </w:p>
  <w:p w:rsidR="006B2288" w:rsidRDefault="006B2288" w:rsidP="00B33413">
    <w:pPr>
      <w:tabs>
        <w:tab w:val="left" w:pos="5245"/>
      </w:tabs>
      <w:ind w:right="-2"/>
      <w:jc w:val="both"/>
      <w:rPr>
        <w:rFonts w:ascii="Tahoma" w:hAnsi="Tahoma" w:cs="Tahoma"/>
        <w:b/>
        <w:bCs/>
      </w:rPr>
    </w:pPr>
  </w:p>
  <w:p w:rsidR="003B3C0D" w:rsidRPr="003B3C0D" w:rsidRDefault="003B3C0D" w:rsidP="00B33413">
    <w:pPr>
      <w:tabs>
        <w:tab w:val="left" w:pos="5245"/>
      </w:tabs>
      <w:ind w:right="-2"/>
      <w:jc w:val="both"/>
      <w:rPr>
        <w:rFonts w:ascii="Tahoma" w:hAnsi="Tahoma" w:cs="Tahoma"/>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88" w:rsidRDefault="003B01A0" w:rsidP="00BF220C">
    <w:pPr>
      <w:pStyle w:val="Encabezado"/>
      <w:jc w:val="right"/>
    </w:pPr>
    <w:r>
      <w:rPr>
        <w:noProof/>
        <w:lang w:eastAsia="es-CR"/>
      </w:rPr>
      <w:drawing>
        <wp:anchor distT="0" distB="0" distL="114300" distR="114300" simplePos="0" relativeHeight="251658240" behindDoc="1" locked="0" layoutInCell="1" allowOverlap="1" wp14:anchorId="581326CD" wp14:editId="71C460D5">
          <wp:simplePos x="0" y="0"/>
          <wp:positionH relativeFrom="column">
            <wp:posOffset>-17145</wp:posOffset>
          </wp:positionH>
          <wp:positionV relativeFrom="paragraph">
            <wp:posOffset>-69215</wp:posOffset>
          </wp:positionV>
          <wp:extent cx="1554480" cy="909320"/>
          <wp:effectExtent l="0" t="0" r="7620" b="5080"/>
          <wp:wrapTopAndBottom/>
          <wp:docPr id="14" name="Imagen 14"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5A5"/>
    <w:multiLevelType w:val="hybridMultilevel"/>
    <w:tmpl w:val="512676A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nsid w:val="08E315DB"/>
    <w:multiLevelType w:val="hybridMultilevel"/>
    <w:tmpl w:val="3A9AA15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CE5518"/>
    <w:multiLevelType w:val="hybridMultilevel"/>
    <w:tmpl w:val="4A60B320"/>
    <w:lvl w:ilvl="0" w:tplc="88162E7A">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
    <w:nsid w:val="129B6D4B"/>
    <w:multiLevelType w:val="multilevel"/>
    <w:tmpl w:val="E7E49B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4C86301"/>
    <w:multiLevelType w:val="hybridMultilevel"/>
    <w:tmpl w:val="667E8766"/>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5">
    <w:nsid w:val="1BC228BA"/>
    <w:multiLevelType w:val="hybridMultilevel"/>
    <w:tmpl w:val="4686E370"/>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6">
    <w:nsid w:val="227A4D4A"/>
    <w:multiLevelType w:val="hybridMultilevel"/>
    <w:tmpl w:val="849E4162"/>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7">
    <w:nsid w:val="26857B2F"/>
    <w:multiLevelType w:val="hybridMultilevel"/>
    <w:tmpl w:val="B636B2C2"/>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8">
    <w:nsid w:val="2ADD2DE4"/>
    <w:multiLevelType w:val="hybridMultilevel"/>
    <w:tmpl w:val="37147BD6"/>
    <w:lvl w:ilvl="0" w:tplc="140A000F">
      <w:start w:val="1"/>
      <w:numFmt w:val="decimal"/>
      <w:lvlText w:val="%1."/>
      <w:lvlJc w:val="left"/>
      <w:pPr>
        <w:ind w:left="360" w:hanging="360"/>
      </w:pPr>
      <w:rPr>
        <w:rFonts w:hint="default"/>
      </w:rPr>
    </w:lvl>
    <w:lvl w:ilvl="1" w:tplc="140A0019">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9">
    <w:nsid w:val="2D8D2FA0"/>
    <w:multiLevelType w:val="hybridMultilevel"/>
    <w:tmpl w:val="B484C56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2EF450C"/>
    <w:multiLevelType w:val="hybridMultilevel"/>
    <w:tmpl w:val="6CD81EFE"/>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55D5FCA"/>
    <w:multiLevelType w:val="hybridMultilevel"/>
    <w:tmpl w:val="BD026F56"/>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2">
    <w:nsid w:val="37DA53FC"/>
    <w:multiLevelType w:val="hybridMultilevel"/>
    <w:tmpl w:val="AF62DADA"/>
    <w:lvl w:ilvl="0" w:tplc="C71060EC">
      <w:start w:val="1"/>
      <w:numFmt w:val="lowerLetter"/>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3">
    <w:nsid w:val="42C53F70"/>
    <w:multiLevelType w:val="hybridMultilevel"/>
    <w:tmpl w:val="508EF26A"/>
    <w:lvl w:ilvl="0" w:tplc="50DC6766">
      <w:start w:val="3"/>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5B90F1A"/>
    <w:multiLevelType w:val="hybridMultilevel"/>
    <w:tmpl w:val="0E08CB8C"/>
    <w:lvl w:ilvl="0" w:tplc="140A0001">
      <w:start w:val="1"/>
      <w:numFmt w:val="bullet"/>
      <w:lvlText w:val=""/>
      <w:lvlJc w:val="left"/>
      <w:pPr>
        <w:ind w:left="360" w:hanging="360"/>
      </w:pPr>
      <w:rPr>
        <w:rFonts w:ascii="Symbol" w:hAnsi="Symbol" w:hint="default"/>
      </w:rPr>
    </w:lvl>
    <w:lvl w:ilvl="1" w:tplc="140A0003">
      <w:start w:val="1"/>
      <w:numFmt w:val="bullet"/>
      <w:lvlText w:val="o"/>
      <w:lvlJc w:val="left"/>
      <w:pPr>
        <w:ind w:left="1080" w:hanging="360"/>
      </w:pPr>
      <w:rPr>
        <w:rFonts w:ascii="Courier New" w:hAnsi="Courier New" w:cs="Courier New" w:hint="default"/>
      </w:rPr>
    </w:lvl>
    <w:lvl w:ilvl="2" w:tplc="140A0005">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5">
    <w:nsid w:val="4A880FEC"/>
    <w:multiLevelType w:val="hybridMultilevel"/>
    <w:tmpl w:val="8F14671C"/>
    <w:lvl w:ilvl="0" w:tplc="3FB2E966">
      <w:numFmt w:val="bullet"/>
      <w:lvlText w:val="-"/>
      <w:lvlJc w:val="left"/>
      <w:pPr>
        <w:ind w:left="450" w:hanging="360"/>
      </w:pPr>
      <w:rPr>
        <w:rFonts w:ascii="Calibri" w:eastAsia="Calibri" w:hAnsi="Calibri" w:cs="Times New Roman" w:hint="default"/>
      </w:rPr>
    </w:lvl>
    <w:lvl w:ilvl="1" w:tplc="140A0003">
      <w:start w:val="1"/>
      <w:numFmt w:val="bullet"/>
      <w:lvlText w:val="o"/>
      <w:lvlJc w:val="left"/>
      <w:pPr>
        <w:ind w:left="1170" w:hanging="360"/>
      </w:pPr>
      <w:rPr>
        <w:rFonts w:ascii="Courier New" w:hAnsi="Courier New" w:cs="Courier New" w:hint="default"/>
      </w:rPr>
    </w:lvl>
    <w:lvl w:ilvl="2" w:tplc="140A0005">
      <w:start w:val="1"/>
      <w:numFmt w:val="bullet"/>
      <w:lvlText w:val=""/>
      <w:lvlJc w:val="left"/>
      <w:pPr>
        <w:ind w:left="1890" w:hanging="360"/>
      </w:pPr>
      <w:rPr>
        <w:rFonts w:ascii="Wingdings" w:hAnsi="Wingdings" w:hint="default"/>
      </w:rPr>
    </w:lvl>
    <w:lvl w:ilvl="3" w:tplc="140A0001">
      <w:start w:val="1"/>
      <w:numFmt w:val="bullet"/>
      <w:lvlText w:val=""/>
      <w:lvlJc w:val="left"/>
      <w:pPr>
        <w:ind w:left="2610" w:hanging="360"/>
      </w:pPr>
      <w:rPr>
        <w:rFonts w:ascii="Symbol" w:hAnsi="Symbol" w:hint="default"/>
      </w:rPr>
    </w:lvl>
    <w:lvl w:ilvl="4" w:tplc="140A0003">
      <w:start w:val="1"/>
      <w:numFmt w:val="bullet"/>
      <w:lvlText w:val="o"/>
      <w:lvlJc w:val="left"/>
      <w:pPr>
        <w:ind w:left="3330" w:hanging="360"/>
      </w:pPr>
      <w:rPr>
        <w:rFonts w:ascii="Courier New" w:hAnsi="Courier New" w:cs="Courier New" w:hint="default"/>
      </w:rPr>
    </w:lvl>
    <w:lvl w:ilvl="5" w:tplc="140A0005">
      <w:start w:val="1"/>
      <w:numFmt w:val="bullet"/>
      <w:lvlText w:val=""/>
      <w:lvlJc w:val="left"/>
      <w:pPr>
        <w:ind w:left="4050" w:hanging="360"/>
      </w:pPr>
      <w:rPr>
        <w:rFonts w:ascii="Wingdings" w:hAnsi="Wingdings" w:hint="default"/>
      </w:rPr>
    </w:lvl>
    <w:lvl w:ilvl="6" w:tplc="140A0001">
      <w:start w:val="1"/>
      <w:numFmt w:val="bullet"/>
      <w:lvlText w:val=""/>
      <w:lvlJc w:val="left"/>
      <w:pPr>
        <w:ind w:left="4770" w:hanging="360"/>
      </w:pPr>
      <w:rPr>
        <w:rFonts w:ascii="Symbol" w:hAnsi="Symbol" w:hint="default"/>
      </w:rPr>
    </w:lvl>
    <w:lvl w:ilvl="7" w:tplc="140A0003">
      <w:start w:val="1"/>
      <w:numFmt w:val="bullet"/>
      <w:lvlText w:val="o"/>
      <w:lvlJc w:val="left"/>
      <w:pPr>
        <w:ind w:left="5490" w:hanging="360"/>
      </w:pPr>
      <w:rPr>
        <w:rFonts w:ascii="Courier New" w:hAnsi="Courier New" w:cs="Courier New" w:hint="default"/>
      </w:rPr>
    </w:lvl>
    <w:lvl w:ilvl="8" w:tplc="140A0005">
      <w:start w:val="1"/>
      <w:numFmt w:val="bullet"/>
      <w:lvlText w:val=""/>
      <w:lvlJc w:val="left"/>
      <w:pPr>
        <w:ind w:left="6210" w:hanging="360"/>
      </w:pPr>
      <w:rPr>
        <w:rFonts w:ascii="Wingdings" w:hAnsi="Wingdings" w:hint="default"/>
      </w:rPr>
    </w:lvl>
  </w:abstractNum>
  <w:abstractNum w:abstractNumId="16">
    <w:nsid w:val="529A19D5"/>
    <w:multiLevelType w:val="hybridMultilevel"/>
    <w:tmpl w:val="785241FA"/>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17">
    <w:nsid w:val="5948675C"/>
    <w:multiLevelType w:val="hybridMultilevel"/>
    <w:tmpl w:val="EA9E5C1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nsid w:val="5A053C53"/>
    <w:multiLevelType w:val="hybridMultilevel"/>
    <w:tmpl w:val="E390CA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A6823B2"/>
    <w:multiLevelType w:val="hybridMultilevel"/>
    <w:tmpl w:val="AFA03AD2"/>
    <w:lvl w:ilvl="0" w:tplc="954850E4">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0">
    <w:nsid w:val="5B175C37"/>
    <w:multiLevelType w:val="singleLevel"/>
    <w:tmpl w:val="0C0A000F"/>
    <w:lvl w:ilvl="0">
      <w:start w:val="1"/>
      <w:numFmt w:val="decimal"/>
      <w:lvlText w:val="%1."/>
      <w:lvlJc w:val="left"/>
      <w:pPr>
        <w:tabs>
          <w:tab w:val="num" w:pos="360"/>
        </w:tabs>
        <w:ind w:left="360" w:hanging="360"/>
      </w:pPr>
    </w:lvl>
  </w:abstractNum>
  <w:abstractNum w:abstractNumId="21">
    <w:nsid w:val="5C753E74"/>
    <w:multiLevelType w:val="hybridMultilevel"/>
    <w:tmpl w:val="01F2DF96"/>
    <w:lvl w:ilvl="0" w:tplc="BACEF9F0">
      <w:start w:val="3"/>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22">
    <w:nsid w:val="63B73C86"/>
    <w:multiLevelType w:val="hybridMultilevel"/>
    <w:tmpl w:val="7794E8AE"/>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3">
    <w:nsid w:val="65E12B5C"/>
    <w:multiLevelType w:val="multilevel"/>
    <w:tmpl w:val="A63E4238"/>
    <w:lvl w:ilvl="0">
      <w:start w:val="8"/>
      <w:numFmt w:val="upperRoman"/>
      <w:lvlText w:val="%1."/>
      <w:lvlJc w:val="right"/>
      <w:pPr>
        <w:ind w:left="1428" w:hanging="720"/>
      </w:pPr>
      <w:rPr>
        <w:rFonts w:hint="default"/>
      </w:rPr>
    </w:lvl>
    <w:lvl w:ilvl="1">
      <w:start w:val="1"/>
      <w:numFmt w:val="decimal"/>
      <w:isLgl/>
      <w:lvlText w:val="%1.%2"/>
      <w:lvlJc w:val="left"/>
      <w:pPr>
        <w:ind w:left="217" w:hanging="360"/>
      </w:pPr>
      <w:rPr>
        <w:rFonts w:hint="default"/>
      </w:rPr>
    </w:lvl>
    <w:lvl w:ilvl="2">
      <w:start w:val="1"/>
      <w:numFmt w:val="decimal"/>
      <w:isLgl/>
      <w:lvlText w:val="%1.%2.%3"/>
      <w:lvlJc w:val="left"/>
      <w:pPr>
        <w:ind w:left="653" w:hanging="720"/>
      </w:pPr>
      <w:rPr>
        <w:rFonts w:hint="default"/>
      </w:rPr>
    </w:lvl>
    <w:lvl w:ilvl="3">
      <w:start w:val="1"/>
      <w:numFmt w:val="decimal"/>
      <w:isLgl/>
      <w:lvlText w:val="%1.%2.%3.%4"/>
      <w:lvlJc w:val="left"/>
      <w:pPr>
        <w:ind w:left="653" w:hanging="720"/>
      </w:pPr>
      <w:rPr>
        <w:rFonts w:hint="default"/>
      </w:rPr>
    </w:lvl>
    <w:lvl w:ilvl="4">
      <w:start w:val="1"/>
      <w:numFmt w:val="decimal"/>
      <w:isLgl/>
      <w:lvlText w:val="%1.%2.%3.%4.%5"/>
      <w:lvlJc w:val="left"/>
      <w:pPr>
        <w:ind w:left="1013" w:hanging="1080"/>
      </w:pPr>
      <w:rPr>
        <w:rFonts w:hint="default"/>
      </w:rPr>
    </w:lvl>
    <w:lvl w:ilvl="5">
      <w:start w:val="1"/>
      <w:numFmt w:val="decimal"/>
      <w:isLgl/>
      <w:lvlText w:val="%1.%2.%3.%4.%5.%6"/>
      <w:lvlJc w:val="left"/>
      <w:pPr>
        <w:ind w:left="1013" w:hanging="1080"/>
      </w:pPr>
      <w:rPr>
        <w:rFonts w:hint="default"/>
      </w:rPr>
    </w:lvl>
    <w:lvl w:ilvl="6">
      <w:start w:val="1"/>
      <w:numFmt w:val="decimal"/>
      <w:isLgl/>
      <w:lvlText w:val="%1.%2.%3.%4.%5.%6.%7"/>
      <w:lvlJc w:val="left"/>
      <w:pPr>
        <w:ind w:left="1373" w:hanging="1440"/>
      </w:pPr>
      <w:rPr>
        <w:rFonts w:hint="default"/>
      </w:rPr>
    </w:lvl>
    <w:lvl w:ilvl="7">
      <w:start w:val="1"/>
      <w:numFmt w:val="decimal"/>
      <w:isLgl/>
      <w:lvlText w:val="%1.%2.%3.%4.%5.%6.%7.%8"/>
      <w:lvlJc w:val="left"/>
      <w:pPr>
        <w:ind w:left="1373" w:hanging="1440"/>
      </w:pPr>
      <w:rPr>
        <w:rFonts w:hint="default"/>
      </w:rPr>
    </w:lvl>
    <w:lvl w:ilvl="8">
      <w:start w:val="1"/>
      <w:numFmt w:val="decimal"/>
      <w:isLgl/>
      <w:lvlText w:val="%1.%2.%3.%4.%5.%6.%7.%8.%9"/>
      <w:lvlJc w:val="left"/>
      <w:pPr>
        <w:ind w:left="1733" w:hanging="1800"/>
      </w:pPr>
      <w:rPr>
        <w:rFonts w:hint="default"/>
      </w:rPr>
    </w:lvl>
  </w:abstractNum>
  <w:abstractNum w:abstractNumId="24">
    <w:nsid w:val="70385492"/>
    <w:multiLevelType w:val="hybridMultilevel"/>
    <w:tmpl w:val="401245AC"/>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25">
    <w:nsid w:val="7318369A"/>
    <w:multiLevelType w:val="multilevel"/>
    <w:tmpl w:val="E7E49B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62A7563"/>
    <w:multiLevelType w:val="hybridMultilevel"/>
    <w:tmpl w:val="21785A3C"/>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num w:numId="1">
    <w:abstractNumId w:val="20"/>
  </w:num>
  <w:num w:numId="2">
    <w:abstractNumId w:val="21"/>
  </w:num>
  <w:num w:numId="3">
    <w:abstractNumId w:val="12"/>
  </w:num>
  <w:num w:numId="4">
    <w:abstractNumId w:val="13"/>
  </w:num>
  <w:num w:numId="5">
    <w:abstractNumId w:val="7"/>
  </w:num>
  <w:num w:numId="6">
    <w:abstractNumId w:val="19"/>
  </w:num>
  <w:num w:numId="7">
    <w:abstractNumId w:val="0"/>
  </w:num>
  <w:num w:numId="8">
    <w:abstractNumId w:val="6"/>
  </w:num>
  <w:num w:numId="9">
    <w:abstractNumId w:val="24"/>
  </w:num>
  <w:num w:numId="10">
    <w:abstractNumId w:val="10"/>
  </w:num>
  <w:num w:numId="11">
    <w:abstractNumId w:val="2"/>
  </w:num>
  <w:num w:numId="12">
    <w:abstractNumId w:val="23"/>
  </w:num>
  <w:num w:numId="13">
    <w:abstractNumId w:val="17"/>
  </w:num>
  <w:num w:numId="14">
    <w:abstractNumId w:val="22"/>
  </w:num>
  <w:num w:numId="15">
    <w:abstractNumId w:val="18"/>
  </w:num>
  <w:num w:numId="16">
    <w:abstractNumId w:val="14"/>
  </w:num>
  <w:num w:numId="17">
    <w:abstractNumId w:val="1"/>
  </w:num>
  <w:num w:numId="18">
    <w:abstractNumId w:val="15"/>
  </w:num>
  <w:num w:numId="19">
    <w:abstractNumId w:val="5"/>
  </w:num>
  <w:num w:numId="20">
    <w:abstractNumId w:val="26"/>
  </w:num>
  <w:num w:numId="21">
    <w:abstractNumId w:val="9"/>
  </w:num>
  <w:num w:numId="22">
    <w:abstractNumId w:val="16"/>
  </w:num>
  <w:num w:numId="23">
    <w:abstractNumId w:val="4"/>
  </w:num>
  <w:num w:numId="24">
    <w:abstractNumId w:val="8"/>
  </w:num>
  <w:num w:numId="25">
    <w:abstractNumId w:val="25"/>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o:colormru v:ext="edit" colors="red,gray"/>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0"/>
    <w:rsid w:val="00012F1C"/>
    <w:rsid w:val="000324D2"/>
    <w:rsid w:val="00041B90"/>
    <w:rsid w:val="00042AB4"/>
    <w:rsid w:val="00050C1E"/>
    <w:rsid w:val="00060DB9"/>
    <w:rsid w:val="000617A8"/>
    <w:rsid w:val="00062CDA"/>
    <w:rsid w:val="00064055"/>
    <w:rsid w:val="000716C8"/>
    <w:rsid w:val="00071C39"/>
    <w:rsid w:val="000742C4"/>
    <w:rsid w:val="00080743"/>
    <w:rsid w:val="00080AE8"/>
    <w:rsid w:val="00084066"/>
    <w:rsid w:val="000874E5"/>
    <w:rsid w:val="000901B4"/>
    <w:rsid w:val="00093104"/>
    <w:rsid w:val="0009576D"/>
    <w:rsid w:val="0009736A"/>
    <w:rsid w:val="00097886"/>
    <w:rsid w:val="000B204B"/>
    <w:rsid w:val="000B4467"/>
    <w:rsid w:val="000C007E"/>
    <w:rsid w:val="000C11BA"/>
    <w:rsid w:val="000C277F"/>
    <w:rsid w:val="000D28EA"/>
    <w:rsid w:val="000D4889"/>
    <w:rsid w:val="000D6410"/>
    <w:rsid w:val="000F023A"/>
    <w:rsid w:val="000F28E2"/>
    <w:rsid w:val="000F47C5"/>
    <w:rsid w:val="000F6119"/>
    <w:rsid w:val="00101D35"/>
    <w:rsid w:val="00107FEC"/>
    <w:rsid w:val="0011032C"/>
    <w:rsid w:val="00110602"/>
    <w:rsid w:val="001131EF"/>
    <w:rsid w:val="001133AA"/>
    <w:rsid w:val="00116A5A"/>
    <w:rsid w:val="00122BFB"/>
    <w:rsid w:val="0013358E"/>
    <w:rsid w:val="00134B60"/>
    <w:rsid w:val="00150431"/>
    <w:rsid w:val="0015799D"/>
    <w:rsid w:val="0016030E"/>
    <w:rsid w:val="00161020"/>
    <w:rsid w:val="00165F5E"/>
    <w:rsid w:val="00166BA7"/>
    <w:rsid w:val="00166F61"/>
    <w:rsid w:val="00167311"/>
    <w:rsid w:val="0017020E"/>
    <w:rsid w:val="001723A0"/>
    <w:rsid w:val="00174BE3"/>
    <w:rsid w:val="00180FDB"/>
    <w:rsid w:val="00183829"/>
    <w:rsid w:val="00184BDA"/>
    <w:rsid w:val="0018604D"/>
    <w:rsid w:val="00190964"/>
    <w:rsid w:val="001914BE"/>
    <w:rsid w:val="0019353C"/>
    <w:rsid w:val="00197ACD"/>
    <w:rsid w:val="00197B86"/>
    <w:rsid w:val="001A01CD"/>
    <w:rsid w:val="001A5B00"/>
    <w:rsid w:val="001A754B"/>
    <w:rsid w:val="001B088E"/>
    <w:rsid w:val="001B561A"/>
    <w:rsid w:val="001C1611"/>
    <w:rsid w:val="001C1994"/>
    <w:rsid w:val="001C2EB3"/>
    <w:rsid w:val="001D02E1"/>
    <w:rsid w:val="001D1096"/>
    <w:rsid w:val="001D230F"/>
    <w:rsid w:val="001D25AE"/>
    <w:rsid w:val="001D54B8"/>
    <w:rsid w:val="001D57B8"/>
    <w:rsid w:val="001E2B6E"/>
    <w:rsid w:val="001E5E9F"/>
    <w:rsid w:val="001F0701"/>
    <w:rsid w:val="001F1564"/>
    <w:rsid w:val="001F2B11"/>
    <w:rsid w:val="001F41F4"/>
    <w:rsid w:val="001F657C"/>
    <w:rsid w:val="001F7CC9"/>
    <w:rsid w:val="0021185D"/>
    <w:rsid w:val="0021339D"/>
    <w:rsid w:val="0022734E"/>
    <w:rsid w:val="00240F10"/>
    <w:rsid w:val="0024643F"/>
    <w:rsid w:val="00252C4C"/>
    <w:rsid w:val="00254319"/>
    <w:rsid w:val="002666FA"/>
    <w:rsid w:val="002671BA"/>
    <w:rsid w:val="00275192"/>
    <w:rsid w:val="00276734"/>
    <w:rsid w:val="00276EAE"/>
    <w:rsid w:val="0028095D"/>
    <w:rsid w:val="00287910"/>
    <w:rsid w:val="00291A42"/>
    <w:rsid w:val="002973D7"/>
    <w:rsid w:val="002A1B4A"/>
    <w:rsid w:val="002B02DD"/>
    <w:rsid w:val="002B592E"/>
    <w:rsid w:val="002C15CC"/>
    <w:rsid w:val="002C4891"/>
    <w:rsid w:val="002C7889"/>
    <w:rsid w:val="002D062D"/>
    <w:rsid w:val="002D3310"/>
    <w:rsid w:val="002D39A5"/>
    <w:rsid w:val="002D74D9"/>
    <w:rsid w:val="002D7A3B"/>
    <w:rsid w:val="002E2D8B"/>
    <w:rsid w:val="002E75C5"/>
    <w:rsid w:val="002F79EB"/>
    <w:rsid w:val="00301C49"/>
    <w:rsid w:val="003029F6"/>
    <w:rsid w:val="00312F7C"/>
    <w:rsid w:val="00315C36"/>
    <w:rsid w:val="00331306"/>
    <w:rsid w:val="00341C8C"/>
    <w:rsid w:val="00341D6A"/>
    <w:rsid w:val="003421A7"/>
    <w:rsid w:val="00342DA6"/>
    <w:rsid w:val="003437BF"/>
    <w:rsid w:val="00347A3B"/>
    <w:rsid w:val="00351857"/>
    <w:rsid w:val="00357209"/>
    <w:rsid w:val="0035781E"/>
    <w:rsid w:val="0037307E"/>
    <w:rsid w:val="00376BDA"/>
    <w:rsid w:val="00387FC5"/>
    <w:rsid w:val="0039073A"/>
    <w:rsid w:val="00394C18"/>
    <w:rsid w:val="003A51F1"/>
    <w:rsid w:val="003B01A0"/>
    <w:rsid w:val="003B0A57"/>
    <w:rsid w:val="003B16E8"/>
    <w:rsid w:val="003B2C30"/>
    <w:rsid w:val="003B3C0D"/>
    <w:rsid w:val="003B50B8"/>
    <w:rsid w:val="003C5A58"/>
    <w:rsid w:val="003D17E8"/>
    <w:rsid w:val="003D40CE"/>
    <w:rsid w:val="003D60A7"/>
    <w:rsid w:val="003E27DE"/>
    <w:rsid w:val="003F0BB7"/>
    <w:rsid w:val="003F4369"/>
    <w:rsid w:val="003F6142"/>
    <w:rsid w:val="003F7E31"/>
    <w:rsid w:val="00401270"/>
    <w:rsid w:val="0041175F"/>
    <w:rsid w:val="004147DF"/>
    <w:rsid w:val="004165C0"/>
    <w:rsid w:val="00416AB3"/>
    <w:rsid w:val="00430BB0"/>
    <w:rsid w:val="0043140C"/>
    <w:rsid w:val="00432624"/>
    <w:rsid w:val="0043271F"/>
    <w:rsid w:val="00436440"/>
    <w:rsid w:val="00454393"/>
    <w:rsid w:val="004550BE"/>
    <w:rsid w:val="004610F8"/>
    <w:rsid w:val="00461FD4"/>
    <w:rsid w:val="00477467"/>
    <w:rsid w:val="0048454A"/>
    <w:rsid w:val="004904D8"/>
    <w:rsid w:val="00491B96"/>
    <w:rsid w:val="00494B1E"/>
    <w:rsid w:val="004952F4"/>
    <w:rsid w:val="004A2457"/>
    <w:rsid w:val="004A469D"/>
    <w:rsid w:val="004A4DFE"/>
    <w:rsid w:val="004C322F"/>
    <w:rsid w:val="004D2669"/>
    <w:rsid w:val="004D385F"/>
    <w:rsid w:val="004D3D1C"/>
    <w:rsid w:val="004D4E6A"/>
    <w:rsid w:val="004D6535"/>
    <w:rsid w:val="004E677E"/>
    <w:rsid w:val="004F2FE5"/>
    <w:rsid w:val="004F530F"/>
    <w:rsid w:val="004F79C0"/>
    <w:rsid w:val="00511696"/>
    <w:rsid w:val="0051185E"/>
    <w:rsid w:val="00523561"/>
    <w:rsid w:val="00523DB0"/>
    <w:rsid w:val="00524B75"/>
    <w:rsid w:val="00524E40"/>
    <w:rsid w:val="00533A66"/>
    <w:rsid w:val="00537958"/>
    <w:rsid w:val="00541509"/>
    <w:rsid w:val="0054792A"/>
    <w:rsid w:val="00550C7B"/>
    <w:rsid w:val="00552009"/>
    <w:rsid w:val="00554373"/>
    <w:rsid w:val="005602D5"/>
    <w:rsid w:val="00560786"/>
    <w:rsid w:val="00563C6A"/>
    <w:rsid w:val="00565049"/>
    <w:rsid w:val="00566732"/>
    <w:rsid w:val="005703B1"/>
    <w:rsid w:val="00572FA5"/>
    <w:rsid w:val="00576272"/>
    <w:rsid w:val="00584709"/>
    <w:rsid w:val="005924E7"/>
    <w:rsid w:val="00596996"/>
    <w:rsid w:val="00597D4C"/>
    <w:rsid w:val="005A00C5"/>
    <w:rsid w:val="005B3F14"/>
    <w:rsid w:val="005B4B98"/>
    <w:rsid w:val="005B7327"/>
    <w:rsid w:val="005B732C"/>
    <w:rsid w:val="005C198D"/>
    <w:rsid w:val="005C1B9C"/>
    <w:rsid w:val="005C3C25"/>
    <w:rsid w:val="005C54BF"/>
    <w:rsid w:val="005D0BB1"/>
    <w:rsid w:val="005D1E0A"/>
    <w:rsid w:val="005D7587"/>
    <w:rsid w:val="005E352C"/>
    <w:rsid w:val="005F4F5D"/>
    <w:rsid w:val="006004E0"/>
    <w:rsid w:val="0060149F"/>
    <w:rsid w:val="006015B2"/>
    <w:rsid w:val="00603F3D"/>
    <w:rsid w:val="00604874"/>
    <w:rsid w:val="0060598C"/>
    <w:rsid w:val="00611792"/>
    <w:rsid w:val="00613B02"/>
    <w:rsid w:val="00622A68"/>
    <w:rsid w:val="00623DBF"/>
    <w:rsid w:val="00625C75"/>
    <w:rsid w:val="00626881"/>
    <w:rsid w:val="0063340E"/>
    <w:rsid w:val="006357E0"/>
    <w:rsid w:val="00640E74"/>
    <w:rsid w:val="00642403"/>
    <w:rsid w:val="006523FB"/>
    <w:rsid w:val="00653EB8"/>
    <w:rsid w:val="00654059"/>
    <w:rsid w:val="006558D1"/>
    <w:rsid w:val="00655C24"/>
    <w:rsid w:val="006569A9"/>
    <w:rsid w:val="006648AE"/>
    <w:rsid w:val="00664A1B"/>
    <w:rsid w:val="0067106E"/>
    <w:rsid w:val="006717D3"/>
    <w:rsid w:val="00672D1B"/>
    <w:rsid w:val="00685A1A"/>
    <w:rsid w:val="00687613"/>
    <w:rsid w:val="00690780"/>
    <w:rsid w:val="006A78CE"/>
    <w:rsid w:val="006B2288"/>
    <w:rsid w:val="006B2E3F"/>
    <w:rsid w:val="006B3E6B"/>
    <w:rsid w:val="006B6D1B"/>
    <w:rsid w:val="006D1AE8"/>
    <w:rsid w:val="006E376F"/>
    <w:rsid w:val="006F6C16"/>
    <w:rsid w:val="00702B40"/>
    <w:rsid w:val="00704BAA"/>
    <w:rsid w:val="007061A4"/>
    <w:rsid w:val="0074454B"/>
    <w:rsid w:val="00746AEC"/>
    <w:rsid w:val="0075418F"/>
    <w:rsid w:val="00754DB3"/>
    <w:rsid w:val="0075650B"/>
    <w:rsid w:val="00762352"/>
    <w:rsid w:val="00762CBB"/>
    <w:rsid w:val="00765034"/>
    <w:rsid w:val="0077426A"/>
    <w:rsid w:val="00777729"/>
    <w:rsid w:val="00792E01"/>
    <w:rsid w:val="007A03D8"/>
    <w:rsid w:val="007A3E9E"/>
    <w:rsid w:val="007B1313"/>
    <w:rsid w:val="007B1E37"/>
    <w:rsid w:val="007B25A6"/>
    <w:rsid w:val="007B2A49"/>
    <w:rsid w:val="007B3B25"/>
    <w:rsid w:val="007B5A7D"/>
    <w:rsid w:val="007B5EA0"/>
    <w:rsid w:val="007C1EEE"/>
    <w:rsid w:val="007C6848"/>
    <w:rsid w:val="007C7054"/>
    <w:rsid w:val="007D06EF"/>
    <w:rsid w:val="007D143B"/>
    <w:rsid w:val="007D17DC"/>
    <w:rsid w:val="007D717E"/>
    <w:rsid w:val="007E08AC"/>
    <w:rsid w:val="007E4CFB"/>
    <w:rsid w:val="007E55E1"/>
    <w:rsid w:val="007E5FE4"/>
    <w:rsid w:val="007E70EE"/>
    <w:rsid w:val="007F136A"/>
    <w:rsid w:val="007F374B"/>
    <w:rsid w:val="00800A99"/>
    <w:rsid w:val="008131D4"/>
    <w:rsid w:val="00814154"/>
    <w:rsid w:val="00823C73"/>
    <w:rsid w:val="00823DD8"/>
    <w:rsid w:val="00827DE8"/>
    <w:rsid w:val="0083303D"/>
    <w:rsid w:val="00833554"/>
    <w:rsid w:val="0083778B"/>
    <w:rsid w:val="00841B77"/>
    <w:rsid w:val="008440CE"/>
    <w:rsid w:val="00847DDD"/>
    <w:rsid w:val="00851825"/>
    <w:rsid w:val="00872FB1"/>
    <w:rsid w:val="00882316"/>
    <w:rsid w:val="008826A3"/>
    <w:rsid w:val="00887FE1"/>
    <w:rsid w:val="008908FB"/>
    <w:rsid w:val="008911D9"/>
    <w:rsid w:val="00891DA3"/>
    <w:rsid w:val="0089397A"/>
    <w:rsid w:val="00897748"/>
    <w:rsid w:val="00897E7C"/>
    <w:rsid w:val="008A2799"/>
    <w:rsid w:val="008A4D00"/>
    <w:rsid w:val="008A5403"/>
    <w:rsid w:val="008A72FA"/>
    <w:rsid w:val="008B20C5"/>
    <w:rsid w:val="008B596C"/>
    <w:rsid w:val="008C1E07"/>
    <w:rsid w:val="008C7491"/>
    <w:rsid w:val="008D291A"/>
    <w:rsid w:val="008E47DB"/>
    <w:rsid w:val="008F1B04"/>
    <w:rsid w:val="008F33E0"/>
    <w:rsid w:val="00900FE0"/>
    <w:rsid w:val="00904126"/>
    <w:rsid w:val="00905522"/>
    <w:rsid w:val="00906427"/>
    <w:rsid w:val="0091514D"/>
    <w:rsid w:val="00930937"/>
    <w:rsid w:val="00941A03"/>
    <w:rsid w:val="00943C77"/>
    <w:rsid w:val="009457BA"/>
    <w:rsid w:val="00945886"/>
    <w:rsid w:val="00953630"/>
    <w:rsid w:val="00960343"/>
    <w:rsid w:val="00961589"/>
    <w:rsid w:val="00965918"/>
    <w:rsid w:val="0096643E"/>
    <w:rsid w:val="00970B80"/>
    <w:rsid w:val="0097691A"/>
    <w:rsid w:val="00982CE9"/>
    <w:rsid w:val="009A0AE1"/>
    <w:rsid w:val="009A2079"/>
    <w:rsid w:val="009A2173"/>
    <w:rsid w:val="009A2F75"/>
    <w:rsid w:val="009B5258"/>
    <w:rsid w:val="009B5F64"/>
    <w:rsid w:val="009B7614"/>
    <w:rsid w:val="009C2DCE"/>
    <w:rsid w:val="009C688A"/>
    <w:rsid w:val="009D1F6E"/>
    <w:rsid w:val="009D2823"/>
    <w:rsid w:val="009D6C2F"/>
    <w:rsid w:val="009D753B"/>
    <w:rsid w:val="009D7FF0"/>
    <w:rsid w:val="009E240C"/>
    <w:rsid w:val="009E3651"/>
    <w:rsid w:val="00A003D3"/>
    <w:rsid w:val="00A03784"/>
    <w:rsid w:val="00A14BCD"/>
    <w:rsid w:val="00A1519F"/>
    <w:rsid w:val="00A1573C"/>
    <w:rsid w:val="00A15F2B"/>
    <w:rsid w:val="00A17673"/>
    <w:rsid w:val="00A31027"/>
    <w:rsid w:val="00A31A2E"/>
    <w:rsid w:val="00A32825"/>
    <w:rsid w:val="00A33882"/>
    <w:rsid w:val="00A42CDA"/>
    <w:rsid w:val="00A56D43"/>
    <w:rsid w:val="00A573CD"/>
    <w:rsid w:val="00A57FD3"/>
    <w:rsid w:val="00A60221"/>
    <w:rsid w:val="00A65CC5"/>
    <w:rsid w:val="00A70DD7"/>
    <w:rsid w:val="00A77894"/>
    <w:rsid w:val="00A8303D"/>
    <w:rsid w:val="00A84FC2"/>
    <w:rsid w:val="00A85490"/>
    <w:rsid w:val="00A95A36"/>
    <w:rsid w:val="00A9721B"/>
    <w:rsid w:val="00AA1BCC"/>
    <w:rsid w:val="00AA1F80"/>
    <w:rsid w:val="00AA6E62"/>
    <w:rsid w:val="00AB31A0"/>
    <w:rsid w:val="00AB342B"/>
    <w:rsid w:val="00AC74B0"/>
    <w:rsid w:val="00AD19DC"/>
    <w:rsid w:val="00AD6176"/>
    <w:rsid w:val="00AE0451"/>
    <w:rsid w:val="00AE14CB"/>
    <w:rsid w:val="00AE5EE2"/>
    <w:rsid w:val="00AF45C3"/>
    <w:rsid w:val="00B02B22"/>
    <w:rsid w:val="00B07CD4"/>
    <w:rsid w:val="00B10871"/>
    <w:rsid w:val="00B11F81"/>
    <w:rsid w:val="00B12F45"/>
    <w:rsid w:val="00B136A3"/>
    <w:rsid w:val="00B136AC"/>
    <w:rsid w:val="00B13C2D"/>
    <w:rsid w:val="00B14E17"/>
    <w:rsid w:val="00B17278"/>
    <w:rsid w:val="00B303B0"/>
    <w:rsid w:val="00B3085D"/>
    <w:rsid w:val="00B3276B"/>
    <w:rsid w:val="00B33413"/>
    <w:rsid w:val="00B3675D"/>
    <w:rsid w:val="00B41219"/>
    <w:rsid w:val="00B429E4"/>
    <w:rsid w:val="00B43D69"/>
    <w:rsid w:val="00B4515A"/>
    <w:rsid w:val="00B451AF"/>
    <w:rsid w:val="00B51B50"/>
    <w:rsid w:val="00B52514"/>
    <w:rsid w:val="00B552BE"/>
    <w:rsid w:val="00B57977"/>
    <w:rsid w:val="00B712F4"/>
    <w:rsid w:val="00B741FA"/>
    <w:rsid w:val="00B90BB0"/>
    <w:rsid w:val="00B95F7E"/>
    <w:rsid w:val="00B9716B"/>
    <w:rsid w:val="00BA2843"/>
    <w:rsid w:val="00BA6569"/>
    <w:rsid w:val="00BB1336"/>
    <w:rsid w:val="00BB16B5"/>
    <w:rsid w:val="00BB6C00"/>
    <w:rsid w:val="00BB7FAF"/>
    <w:rsid w:val="00BC60E1"/>
    <w:rsid w:val="00BC79F9"/>
    <w:rsid w:val="00BD1C15"/>
    <w:rsid w:val="00BD4128"/>
    <w:rsid w:val="00BD54D1"/>
    <w:rsid w:val="00BD5921"/>
    <w:rsid w:val="00BD5AC0"/>
    <w:rsid w:val="00BD6F2D"/>
    <w:rsid w:val="00BE4A0F"/>
    <w:rsid w:val="00BF220C"/>
    <w:rsid w:val="00BF3C90"/>
    <w:rsid w:val="00C04DBB"/>
    <w:rsid w:val="00C050A3"/>
    <w:rsid w:val="00C10926"/>
    <w:rsid w:val="00C11DAB"/>
    <w:rsid w:val="00C2070E"/>
    <w:rsid w:val="00C25822"/>
    <w:rsid w:val="00C25B9E"/>
    <w:rsid w:val="00C2727C"/>
    <w:rsid w:val="00C27417"/>
    <w:rsid w:val="00C34DDA"/>
    <w:rsid w:val="00C360AF"/>
    <w:rsid w:val="00C377B3"/>
    <w:rsid w:val="00C4259F"/>
    <w:rsid w:val="00C44CDF"/>
    <w:rsid w:val="00C56B75"/>
    <w:rsid w:val="00C61215"/>
    <w:rsid w:val="00C66CAC"/>
    <w:rsid w:val="00C709F8"/>
    <w:rsid w:val="00C71559"/>
    <w:rsid w:val="00C73BAC"/>
    <w:rsid w:val="00C8005F"/>
    <w:rsid w:val="00C80073"/>
    <w:rsid w:val="00C82269"/>
    <w:rsid w:val="00C85D72"/>
    <w:rsid w:val="00C90025"/>
    <w:rsid w:val="00C932BE"/>
    <w:rsid w:val="00C96879"/>
    <w:rsid w:val="00CA44FC"/>
    <w:rsid w:val="00CA6195"/>
    <w:rsid w:val="00CA6404"/>
    <w:rsid w:val="00CA76F2"/>
    <w:rsid w:val="00CB4850"/>
    <w:rsid w:val="00CB6CF4"/>
    <w:rsid w:val="00CC35B7"/>
    <w:rsid w:val="00CD1D0B"/>
    <w:rsid w:val="00CD5F15"/>
    <w:rsid w:val="00CE434C"/>
    <w:rsid w:val="00CE5DF2"/>
    <w:rsid w:val="00CE663A"/>
    <w:rsid w:val="00CF0BB9"/>
    <w:rsid w:val="00CF4C62"/>
    <w:rsid w:val="00CF7108"/>
    <w:rsid w:val="00D01E7A"/>
    <w:rsid w:val="00D025A5"/>
    <w:rsid w:val="00D0524C"/>
    <w:rsid w:val="00D0730C"/>
    <w:rsid w:val="00D12BB8"/>
    <w:rsid w:val="00D1406A"/>
    <w:rsid w:val="00D21B3F"/>
    <w:rsid w:val="00D21D60"/>
    <w:rsid w:val="00D22E74"/>
    <w:rsid w:val="00D23D6A"/>
    <w:rsid w:val="00D23F86"/>
    <w:rsid w:val="00D27E57"/>
    <w:rsid w:val="00D34652"/>
    <w:rsid w:val="00D34FDF"/>
    <w:rsid w:val="00D3728B"/>
    <w:rsid w:val="00D37C12"/>
    <w:rsid w:val="00D41764"/>
    <w:rsid w:val="00D67888"/>
    <w:rsid w:val="00D753E9"/>
    <w:rsid w:val="00D805AB"/>
    <w:rsid w:val="00D837F3"/>
    <w:rsid w:val="00D83B17"/>
    <w:rsid w:val="00D83D51"/>
    <w:rsid w:val="00D85EE4"/>
    <w:rsid w:val="00D86C8F"/>
    <w:rsid w:val="00D94111"/>
    <w:rsid w:val="00DA19EA"/>
    <w:rsid w:val="00DA30C8"/>
    <w:rsid w:val="00DA37CC"/>
    <w:rsid w:val="00DB17DE"/>
    <w:rsid w:val="00DB22E0"/>
    <w:rsid w:val="00DB4116"/>
    <w:rsid w:val="00DB5F42"/>
    <w:rsid w:val="00DB6216"/>
    <w:rsid w:val="00DC007E"/>
    <w:rsid w:val="00DC403D"/>
    <w:rsid w:val="00DD28B0"/>
    <w:rsid w:val="00DD3DB6"/>
    <w:rsid w:val="00DD412E"/>
    <w:rsid w:val="00DE0991"/>
    <w:rsid w:val="00DF2FEB"/>
    <w:rsid w:val="00DF32C7"/>
    <w:rsid w:val="00E011C6"/>
    <w:rsid w:val="00E0146A"/>
    <w:rsid w:val="00E04FD7"/>
    <w:rsid w:val="00E1743E"/>
    <w:rsid w:val="00E22344"/>
    <w:rsid w:val="00E22563"/>
    <w:rsid w:val="00E35B6F"/>
    <w:rsid w:val="00E41734"/>
    <w:rsid w:val="00E449FF"/>
    <w:rsid w:val="00E57B35"/>
    <w:rsid w:val="00E64425"/>
    <w:rsid w:val="00E65D1A"/>
    <w:rsid w:val="00E66D87"/>
    <w:rsid w:val="00E7075C"/>
    <w:rsid w:val="00E7653C"/>
    <w:rsid w:val="00E848EB"/>
    <w:rsid w:val="00E86CD7"/>
    <w:rsid w:val="00E94421"/>
    <w:rsid w:val="00E962E9"/>
    <w:rsid w:val="00E973A2"/>
    <w:rsid w:val="00EA0A2D"/>
    <w:rsid w:val="00EA7F5F"/>
    <w:rsid w:val="00EB39EE"/>
    <w:rsid w:val="00EB4973"/>
    <w:rsid w:val="00EB51DD"/>
    <w:rsid w:val="00EC5138"/>
    <w:rsid w:val="00EC733D"/>
    <w:rsid w:val="00ED0EF3"/>
    <w:rsid w:val="00ED2054"/>
    <w:rsid w:val="00ED6F0D"/>
    <w:rsid w:val="00EE0AC4"/>
    <w:rsid w:val="00EE1894"/>
    <w:rsid w:val="00EE2724"/>
    <w:rsid w:val="00EF21E0"/>
    <w:rsid w:val="00F01F75"/>
    <w:rsid w:val="00F067A8"/>
    <w:rsid w:val="00F069FA"/>
    <w:rsid w:val="00F100CF"/>
    <w:rsid w:val="00F14158"/>
    <w:rsid w:val="00F14E3B"/>
    <w:rsid w:val="00F16872"/>
    <w:rsid w:val="00F2451C"/>
    <w:rsid w:val="00F2555D"/>
    <w:rsid w:val="00F272C1"/>
    <w:rsid w:val="00F306C9"/>
    <w:rsid w:val="00F30FE9"/>
    <w:rsid w:val="00F33698"/>
    <w:rsid w:val="00F36986"/>
    <w:rsid w:val="00F41160"/>
    <w:rsid w:val="00F50FF2"/>
    <w:rsid w:val="00F52769"/>
    <w:rsid w:val="00F535DE"/>
    <w:rsid w:val="00F55BB6"/>
    <w:rsid w:val="00F5742E"/>
    <w:rsid w:val="00F62CCF"/>
    <w:rsid w:val="00F633CD"/>
    <w:rsid w:val="00F710D0"/>
    <w:rsid w:val="00F71887"/>
    <w:rsid w:val="00F71C28"/>
    <w:rsid w:val="00F80880"/>
    <w:rsid w:val="00F81152"/>
    <w:rsid w:val="00F813BF"/>
    <w:rsid w:val="00F85BB4"/>
    <w:rsid w:val="00F8742C"/>
    <w:rsid w:val="00F87A48"/>
    <w:rsid w:val="00F90764"/>
    <w:rsid w:val="00F911AA"/>
    <w:rsid w:val="00F970D5"/>
    <w:rsid w:val="00FA19D1"/>
    <w:rsid w:val="00FA6C31"/>
    <w:rsid w:val="00FA7ED3"/>
    <w:rsid w:val="00FB0EBE"/>
    <w:rsid w:val="00FC21EF"/>
    <w:rsid w:val="00FC3C60"/>
    <w:rsid w:val="00FD0AB3"/>
    <w:rsid w:val="00FE75B4"/>
    <w:rsid w:val="00FF526E"/>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red,gray"/>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F41160"/>
    <w:rPr>
      <w:rFonts w:ascii="Tahoma" w:hAnsi="Tahoma" w:cs="Tahoma"/>
      <w:sz w:val="16"/>
      <w:szCs w:val="16"/>
    </w:rPr>
  </w:style>
  <w:style w:type="character" w:customStyle="1" w:styleId="TextodegloboCar">
    <w:name w:val="Texto de globo Car"/>
    <w:basedOn w:val="Fuentedeprrafopredeter"/>
    <w:link w:val="Textodeglobo"/>
    <w:uiPriority w:val="99"/>
    <w:semiHidden/>
    <w:rsid w:val="00F41160"/>
    <w:rPr>
      <w:rFonts w:ascii="Tahoma" w:hAnsi="Tahoma" w:cs="Tahoma"/>
      <w:sz w:val="16"/>
      <w:szCs w:val="16"/>
      <w:lang w:val="en-US" w:eastAsia="es-ES" w:bidi="ar-SA"/>
    </w:rPr>
  </w:style>
  <w:style w:type="paragraph" w:styleId="Prrafodelista">
    <w:name w:val="List Paragraph"/>
    <w:basedOn w:val="Normal"/>
    <w:link w:val="PrrafodelistaCar"/>
    <w:uiPriority w:val="34"/>
    <w:qFormat/>
    <w:rsid w:val="007061A4"/>
    <w:pPr>
      <w:ind w:left="720"/>
      <w:contextualSpacing/>
    </w:pPr>
  </w:style>
  <w:style w:type="table" w:styleId="Tablaconcuadrcula">
    <w:name w:val="Table Grid"/>
    <w:basedOn w:val="Tablanormal"/>
    <w:uiPriority w:val="59"/>
    <w:rsid w:val="002C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21EF"/>
    <w:pPr>
      <w:autoSpaceDE w:val="0"/>
      <w:autoSpaceDN w:val="0"/>
      <w:adjustRightInd w:val="0"/>
    </w:pPr>
    <w:rPr>
      <w:rFonts w:ascii="Arial" w:hAnsi="Arial" w:cs="Arial"/>
      <w:color w:val="000000"/>
      <w:sz w:val="24"/>
      <w:szCs w:val="24"/>
    </w:rPr>
  </w:style>
  <w:style w:type="character" w:customStyle="1" w:styleId="PrrafodelistaCar">
    <w:name w:val="Párrafo de lista Car"/>
    <w:link w:val="Prrafodelista"/>
    <w:uiPriority w:val="34"/>
    <w:rsid w:val="00FC21EF"/>
    <w:rPr>
      <w:rFonts w:ascii="Arial" w:hAnsi="Arial"/>
      <w:sz w:val="24"/>
      <w:lang w:eastAsia="es-ES"/>
    </w:rPr>
  </w:style>
  <w:style w:type="paragraph" w:styleId="Textonotapie">
    <w:name w:val="footnote text"/>
    <w:basedOn w:val="Normal"/>
    <w:link w:val="TextonotapieCar"/>
    <w:uiPriority w:val="99"/>
    <w:semiHidden/>
    <w:unhideWhenUsed/>
    <w:rsid w:val="00BC79F9"/>
    <w:rPr>
      <w:sz w:val="20"/>
    </w:rPr>
  </w:style>
  <w:style w:type="character" w:customStyle="1" w:styleId="TextonotapieCar">
    <w:name w:val="Texto nota pie Car"/>
    <w:basedOn w:val="Fuentedeprrafopredeter"/>
    <w:link w:val="Textonotapie"/>
    <w:uiPriority w:val="99"/>
    <w:semiHidden/>
    <w:rsid w:val="00BC79F9"/>
    <w:rPr>
      <w:rFonts w:ascii="Arial" w:hAnsi="Arial"/>
      <w:lang w:eastAsia="es-ES"/>
    </w:rPr>
  </w:style>
  <w:style w:type="character" w:styleId="Refdenotaalpie">
    <w:name w:val="footnote reference"/>
    <w:basedOn w:val="Fuentedeprrafopredeter"/>
    <w:uiPriority w:val="99"/>
    <w:semiHidden/>
    <w:unhideWhenUsed/>
    <w:rsid w:val="00BC79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F41160"/>
    <w:rPr>
      <w:rFonts w:ascii="Tahoma" w:hAnsi="Tahoma" w:cs="Tahoma"/>
      <w:sz w:val="16"/>
      <w:szCs w:val="16"/>
    </w:rPr>
  </w:style>
  <w:style w:type="character" w:customStyle="1" w:styleId="TextodegloboCar">
    <w:name w:val="Texto de globo Car"/>
    <w:basedOn w:val="Fuentedeprrafopredeter"/>
    <w:link w:val="Textodeglobo"/>
    <w:uiPriority w:val="99"/>
    <w:semiHidden/>
    <w:rsid w:val="00F41160"/>
    <w:rPr>
      <w:rFonts w:ascii="Tahoma" w:hAnsi="Tahoma" w:cs="Tahoma"/>
      <w:sz w:val="16"/>
      <w:szCs w:val="16"/>
      <w:lang w:val="en-US" w:eastAsia="es-ES" w:bidi="ar-SA"/>
    </w:rPr>
  </w:style>
  <w:style w:type="paragraph" w:styleId="Prrafodelista">
    <w:name w:val="List Paragraph"/>
    <w:basedOn w:val="Normal"/>
    <w:link w:val="PrrafodelistaCar"/>
    <w:uiPriority w:val="34"/>
    <w:qFormat/>
    <w:rsid w:val="007061A4"/>
    <w:pPr>
      <w:ind w:left="720"/>
      <w:contextualSpacing/>
    </w:pPr>
  </w:style>
  <w:style w:type="table" w:styleId="Tablaconcuadrcula">
    <w:name w:val="Table Grid"/>
    <w:basedOn w:val="Tablanormal"/>
    <w:uiPriority w:val="59"/>
    <w:rsid w:val="002C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21EF"/>
    <w:pPr>
      <w:autoSpaceDE w:val="0"/>
      <w:autoSpaceDN w:val="0"/>
      <w:adjustRightInd w:val="0"/>
    </w:pPr>
    <w:rPr>
      <w:rFonts w:ascii="Arial" w:hAnsi="Arial" w:cs="Arial"/>
      <w:color w:val="000000"/>
      <w:sz w:val="24"/>
      <w:szCs w:val="24"/>
    </w:rPr>
  </w:style>
  <w:style w:type="character" w:customStyle="1" w:styleId="PrrafodelistaCar">
    <w:name w:val="Párrafo de lista Car"/>
    <w:link w:val="Prrafodelista"/>
    <w:uiPriority w:val="34"/>
    <w:rsid w:val="00FC21EF"/>
    <w:rPr>
      <w:rFonts w:ascii="Arial" w:hAnsi="Arial"/>
      <w:sz w:val="24"/>
      <w:lang w:eastAsia="es-ES"/>
    </w:rPr>
  </w:style>
  <w:style w:type="paragraph" w:styleId="Textonotapie">
    <w:name w:val="footnote text"/>
    <w:basedOn w:val="Normal"/>
    <w:link w:val="TextonotapieCar"/>
    <w:uiPriority w:val="99"/>
    <w:semiHidden/>
    <w:unhideWhenUsed/>
    <w:rsid w:val="00BC79F9"/>
    <w:rPr>
      <w:sz w:val="20"/>
    </w:rPr>
  </w:style>
  <w:style w:type="character" w:customStyle="1" w:styleId="TextonotapieCar">
    <w:name w:val="Texto nota pie Car"/>
    <w:basedOn w:val="Fuentedeprrafopredeter"/>
    <w:link w:val="Textonotapie"/>
    <w:uiPriority w:val="99"/>
    <w:semiHidden/>
    <w:rsid w:val="00BC79F9"/>
    <w:rPr>
      <w:rFonts w:ascii="Arial" w:hAnsi="Arial"/>
      <w:lang w:eastAsia="es-ES"/>
    </w:rPr>
  </w:style>
  <w:style w:type="character" w:styleId="Refdenotaalpie">
    <w:name w:val="footnote reference"/>
    <w:basedOn w:val="Fuentedeprrafopredeter"/>
    <w:uiPriority w:val="99"/>
    <w:semiHidden/>
    <w:unhideWhenUsed/>
    <w:rsid w:val="00BC79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483">
      <w:bodyDiv w:val="1"/>
      <w:marLeft w:val="0"/>
      <w:marRight w:val="0"/>
      <w:marTop w:val="0"/>
      <w:marBottom w:val="0"/>
      <w:divBdr>
        <w:top w:val="none" w:sz="0" w:space="0" w:color="auto"/>
        <w:left w:val="none" w:sz="0" w:space="0" w:color="auto"/>
        <w:bottom w:val="none" w:sz="0" w:space="0" w:color="auto"/>
        <w:right w:val="none" w:sz="0" w:space="0" w:color="auto"/>
      </w:divBdr>
    </w:div>
    <w:div w:id="32196985">
      <w:bodyDiv w:val="1"/>
      <w:marLeft w:val="0"/>
      <w:marRight w:val="0"/>
      <w:marTop w:val="0"/>
      <w:marBottom w:val="0"/>
      <w:divBdr>
        <w:top w:val="none" w:sz="0" w:space="0" w:color="auto"/>
        <w:left w:val="none" w:sz="0" w:space="0" w:color="auto"/>
        <w:bottom w:val="none" w:sz="0" w:space="0" w:color="auto"/>
        <w:right w:val="none" w:sz="0" w:space="0" w:color="auto"/>
      </w:divBdr>
    </w:div>
    <w:div w:id="368915600">
      <w:bodyDiv w:val="1"/>
      <w:marLeft w:val="0"/>
      <w:marRight w:val="0"/>
      <w:marTop w:val="0"/>
      <w:marBottom w:val="0"/>
      <w:divBdr>
        <w:top w:val="none" w:sz="0" w:space="0" w:color="auto"/>
        <w:left w:val="none" w:sz="0" w:space="0" w:color="auto"/>
        <w:bottom w:val="none" w:sz="0" w:space="0" w:color="auto"/>
        <w:right w:val="none" w:sz="0" w:space="0" w:color="auto"/>
      </w:divBdr>
    </w:div>
    <w:div w:id="415637144">
      <w:bodyDiv w:val="1"/>
      <w:marLeft w:val="0"/>
      <w:marRight w:val="0"/>
      <w:marTop w:val="0"/>
      <w:marBottom w:val="0"/>
      <w:divBdr>
        <w:top w:val="none" w:sz="0" w:space="0" w:color="auto"/>
        <w:left w:val="none" w:sz="0" w:space="0" w:color="auto"/>
        <w:bottom w:val="none" w:sz="0" w:space="0" w:color="auto"/>
        <w:right w:val="none" w:sz="0" w:space="0" w:color="auto"/>
      </w:divBdr>
    </w:div>
    <w:div w:id="589578955">
      <w:bodyDiv w:val="1"/>
      <w:marLeft w:val="0"/>
      <w:marRight w:val="0"/>
      <w:marTop w:val="0"/>
      <w:marBottom w:val="0"/>
      <w:divBdr>
        <w:top w:val="none" w:sz="0" w:space="0" w:color="auto"/>
        <w:left w:val="none" w:sz="0" w:space="0" w:color="auto"/>
        <w:bottom w:val="none" w:sz="0" w:space="0" w:color="auto"/>
        <w:right w:val="none" w:sz="0" w:space="0" w:color="auto"/>
      </w:divBdr>
    </w:div>
    <w:div w:id="608969253">
      <w:bodyDiv w:val="1"/>
      <w:marLeft w:val="0"/>
      <w:marRight w:val="0"/>
      <w:marTop w:val="0"/>
      <w:marBottom w:val="0"/>
      <w:divBdr>
        <w:top w:val="none" w:sz="0" w:space="0" w:color="auto"/>
        <w:left w:val="none" w:sz="0" w:space="0" w:color="auto"/>
        <w:bottom w:val="none" w:sz="0" w:space="0" w:color="auto"/>
        <w:right w:val="none" w:sz="0" w:space="0" w:color="auto"/>
      </w:divBdr>
    </w:div>
    <w:div w:id="611207009">
      <w:bodyDiv w:val="1"/>
      <w:marLeft w:val="0"/>
      <w:marRight w:val="0"/>
      <w:marTop w:val="0"/>
      <w:marBottom w:val="0"/>
      <w:divBdr>
        <w:top w:val="none" w:sz="0" w:space="0" w:color="auto"/>
        <w:left w:val="none" w:sz="0" w:space="0" w:color="auto"/>
        <w:bottom w:val="none" w:sz="0" w:space="0" w:color="auto"/>
        <w:right w:val="none" w:sz="0" w:space="0" w:color="auto"/>
      </w:divBdr>
    </w:div>
    <w:div w:id="648751025">
      <w:bodyDiv w:val="1"/>
      <w:marLeft w:val="0"/>
      <w:marRight w:val="0"/>
      <w:marTop w:val="0"/>
      <w:marBottom w:val="0"/>
      <w:divBdr>
        <w:top w:val="none" w:sz="0" w:space="0" w:color="auto"/>
        <w:left w:val="none" w:sz="0" w:space="0" w:color="auto"/>
        <w:bottom w:val="none" w:sz="0" w:space="0" w:color="auto"/>
        <w:right w:val="none" w:sz="0" w:space="0" w:color="auto"/>
      </w:divBdr>
    </w:div>
    <w:div w:id="974678076">
      <w:bodyDiv w:val="1"/>
      <w:marLeft w:val="0"/>
      <w:marRight w:val="0"/>
      <w:marTop w:val="0"/>
      <w:marBottom w:val="0"/>
      <w:divBdr>
        <w:top w:val="none" w:sz="0" w:space="0" w:color="auto"/>
        <w:left w:val="none" w:sz="0" w:space="0" w:color="auto"/>
        <w:bottom w:val="none" w:sz="0" w:space="0" w:color="auto"/>
        <w:right w:val="none" w:sz="0" w:space="0" w:color="auto"/>
      </w:divBdr>
    </w:div>
    <w:div w:id="1003437041">
      <w:bodyDiv w:val="1"/>
      <w:marLeft w:val="0"/>
      <w:marRight w:val="0"/>
      <w:marTop w:val="0"/>
      <w:marBottom w:val="0"/>
      <w:divBdr>
        <w:top w:val="none" w:sz="0" w:space="0" w:color="auto"/>
        <w:left w:val="none" w:sz="0" w:space="0" w:color="auto"/>
        <w:bottom w:val="none" w:sz="0" w:space="0" w:color="auto"/>
        <w:right w:val="none" w:sz="0" w:space="0" w:color="auto"/>
      </w:divBdr>
    </w:div>
    <w:div w:id="1079205793">
      <w:bodyDiv w:val="1"/>
      <w:marLeft w:val="0"/>
      <w:marRight w:val="0"/>
      <w:marTop w:val="0"/>
      <w:marBottom w:val="0"/>
      <w:divBdr>
        <w:top w:val="none" w:sz="0" w:space="0" w:color="auto"/>
        <w:left w:val="none" w:sz="0" w:space="0" w:color="auto"/>
        <w:bottom w:val="none" w:sz="0" w:space="0" w:color="auto"/>
        <w:right w:val="none" w:sz="0" w:space="0" w:color="auto"/>
      </w:divBdr>
    </w:div>
    <w:div w:id="1101873824">
      <w:bodyDiv w:val="1"/>
      <w:marLeft w:val="0"/>
      <w:marRight w:val="0"/>
      <w:marTop w:val="0"/>
      <w:marBottom w:val="0"/>
      <w:divBdr>
        <w:top w:val="none" w:sz="0" w:space="0" w:color="auto"/>
        <w:left w:val="none" w:sz="0" w:space="0" w:color="auto"/>
        <w:bottom w:val="none" w:sz="0" w:space="0" w:color="auto"/>
        <w:right w:val="none" w:sz="0" w:space="0" w:color="auto"/>
      </w:divBdr>
    </w:div>
    <w:div w:id="1134642910">
      <w:bodyDiv w:val="1"/>
      <w:marLeft w:val="0"/>
      <w:marRight w:val="0"/>
      <w:marTop w:val="0"/>
      <w:marBottom w:val="0"/>
      <w:divBdr>
        <w:top w:val="none" w:sz="0" w:space="0" w:color="auto"/>
        <w:left w:val="none" w:sz="0" w:space="0" w:color="auto"/>
        <w:bottom w:val="none" w:sz="0" w:space="0" w:color="auto"/>
        <w:right w:val="none" w:sz="0" w:space="0" w:color="auto"/>
      </w:divBdr>
    </w:div>
    <w:div w:id="1229463597">
      <w:bodyDiv w:val="1"/>
      <w:marLeft w:val="0"/>
      <w:marRight w:val="0"/>
      <w:marTop w:val="0"/>
      <w:marBottom w:val="0"/>
      <w:divBdr>
        <w:top w:val="none" w:sz="0" w:space="0" w:color="auto"/>
        <w:left w:val="none" w:sz="0" w:space="0" w:color="auto"/>
        <w:bottom w:val="none" w:sz="0" w:space="0" w:color="auto"/>
        <w:right w:val="none" w:sz="0" w:space="0" w:color="auto"/>
      </w:divBdr>
    </w:div>
    <w:div w:id="1277518977">
      <w:bodyDiv w:val="1"/>
      <w:marLeft w:val="0"/>
      <w:marRight w:val="0"/>
      <w:marTop w:val="0"/>
      <w:marBottom w:val="0"/>
      <w:divBdr>
        <w:top w:val="none" w:sz="0" w:space="0" w:color="auto"/>
        <w:left w:val="none" w:sz="0" w:space="0" w:color="auto"/>
        <w:bottom w:val="none" w:sz="0" w:space="0" w:color="auto"/>
        <w:right w:val="none" w:sz="0" w:space="0" w:color="auto"/>
      </w:divBdr>
    </w:div>
    <w:div w:id="1333608042">
      <w:bodyDiv w:val="1"/>
      <w:marLeft w:val="0"/>
      <w:marRight w:val="0"/>
      <w:marTop w:val="0"/>
      <w:marBottom w:val="0"/>
      <w:divBdr>
        <w:top w:val="none" w:sz="0" w:space="0" w:color="auto"/>
        <w:left w:val="none" w:sz="0" w:space="0" w:color="auto"/>
        <w:bottom w:val="none" w:sz="0" w:space="0" w:color="auto"/>
        <w:right w:val="none" w:sz="0" w:space="0" w:color="auto"/>
      </w:divBdr>
    </w:div>
    <w:div w:id="1420180261">
      <w:bodyDiv w:val="1"/>
      <w:marLeft w:val="0"/>
      <w:marRight w:val="0"/>
      <w:marTop w:val="0"/>
      <w:marBottom w:val="0"/>
      <w:divBdr>
        <w:top w:val="none" w:sz="0" w:space="0" w:color="auto"/>
        <w:left w:val="none" w:sz="0" w:space="0" w:color="auto"/>
        <w:bottom w:val="none" w:sz="0" w:space="0" w:color="auto"/>
        <w:right w:val="none" w:sz="0" w:space="0" w:color="auto"/>
      </w:divBdr>
    </w:div>
    <w:div w:id="1607426302">
      <w:bodyDiv w:val="1"/>
      <w:marLeft w:val="0"/>
      <w:marRight w:val="0"/>
      <w:marTop w:val="0"/>
      <w:marBottom w:val="0"/>
      <w:divBdr>
        <w:top w:val="none" w:sz="0" w:space="0" w:color="auto"/>
        <w:left w:val="none" w:sz="0" w:space="0" w:color="auto"/>
        <w:bottom w:val="none" w:sz="0" w:space="0" w:color="auto"/>
        <w:right w:val="none" w:sz="0" w:space="0" w:color="auto"/>
      </w:divBdr>
    </w:div>
    <w:div w:id="1627395654">
      <w:bodyDiv w:val="1"/>
      <w:marLeft w:val="0"/>
      <w:marRight w:val="0"/>
      <w:marTop w:val="0"/>
      <w:marBottom w:val="0"/>
      <w:divBdr>
        <w:top w:val="none" w:sz="0" w:space="0" w:color="auto"/>
        <w:left w:val="none" w:sz="0" w:space="0" w:color="auto"/>
        <w:bottom w:val="none" w:sz="0" w:space="0" w:color="auto"/>
        <w:right w:val="none" w:sz="0" w:space="0" w:color="auto"/>
      </w:divBdr>
    </w:div>
    <w:div w:id="1630359966">
      <w:bodyDiv w:val="1"/>
      <w:marLeft w:val="0"/>
      <w:marRight w:val="0"/>
      <w:marTop w:val="0"/>
      <w:marBottom w:val="0"/>
      <w:divBdr>
        <w:top w:val="none" w:sz="0" w:space="0" w:color="auto"/>
        <w:left w:val="none" w:sz="0" w:space="0" w:color="auto"/>
        <w:bottom w:val="none" w:sz="0" w:space="0" w:color="auto"/>
        <w:right w:val="none" w:sz="0" w:space="0" w:color="auto"/>
      </w:divBdr>
    </w:div>
    <w:div w:id="1871527424">
      <w:bodyDiv w:val="1"/>
      <w:marLeft w:val="0"/>
      <w:marRight w:val="0"/>
      <w:marTop w:val="0"/>
      <w:marBottom w:val="0"/>
      <w:divBdr>
        <w:top w:val="none" w:sz="0" w:space="0" w:color="auto"/>
        <w:left w:val="none" w:sz="0" w:space="0" w:color="auto"/>
        <w:bottom w:val="none" w:sz="0" w:space="0" w:color="auto"/>
        <w:right w:val="none" w:sz="0" w:space="0" w:color="auto"/>
      </w:divBdr>
    </w:div>
    <w:div w:id="1932009395">
      <w:bodyDiv w:val="1"/>
      <w:marLeft w:val="0"/>
      <w:marRight w:val="0"/>
      <w:marTop w:val="0"/>
      <w:marBottom w:val="0"/>
      <w:divBdr>
        <w:top w:val="none" w:sz="0" w:space="0" w:color="auto"/>
        <w:left w:val="none" w:sz="0" w:space="0" w:color="auto"/>
        <w:bottom w:val="none" w:sz="0" w:space="0" w:color="auto"/>
        <w:right w:val="none" w:sz="0" w:space="0" w:color="auto"/>
      </w:divBdr>
    </w:div>
    <w:div w:id="1962105778">
      <w:bodyDiv w:val="1"/>
      <w:marLeft w:val="0"/>
      <w:marRight w:val="0"/>
      <w:marTop w:val="0"/>
      <w:marBottom w:val="0"/>
      <w:divBdr>
        <w:top w:val="none" w:sz="0" w:space="0" w:color="auto"/>
        <w:left w:val="none" w:sz="0" w:space="0" w:color="auto"/>
        <w:bottom w:val="none" w:sz="0" w:space="0" w:color="auto"/>
        <w:right w:val="none" w:sz="0" w:space="0" w:color="auto"/>
      </w:divBdr>
    </w:div>
    <w:div w:id="2026244206">
      <w:bodyDiv w:val="1"/>
      <w:marLeft w:val="0"/>
      <w:marRight w:val="0"/>
      <w:marTop w:val="0"/>
      <w:marBottom w:val="0"/>
      <w:divBdr>
        <w:top w:val="none" w:sz="0" w:space="0" w:color="auto"/>
        <w:left w:val="none" w:sz="0" w:space="0" w:color="auto"/>
        <w:bottom w:val="none" w:sz="0" w:space="0" w:color="auto"/>
        <w:right w:val="none" w:sz="0" w:space="0" w:color="auto"/>
      </w:divBdr>
    </w:div>
    <w:div w:id="2096785193">
      <w:bodyDiv w:val="1"/>
      <w:marLeft w:val="0"/>
      <w:marRight w:val="0"/>
      <w:marTop w:val="0"/>
      <w:marBottom w:val="0"/>
      <w:divBdr>
        <w:top w:val="none" w:sz="0" w:space="0" w:color="auto"/>
        <w:left w:val="none" w:sz="0" w:space="0" w:color="auto"/>
        <w:bottom w:val="none" w:sz="0" w:space="0" w:color="auto"/>
        <w:right w:val="none" w:sz="0" w:space="0" w:color="auto"/>
      </w:divBdr>
    </w:div>
    <w:div w:id="210714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ora\Documents\INFORMES%20SGET\1-ACTIVIDAD%20DOCUMENTAL\PLANTILLAS%20DE%20FEB-JUN-2013\OficioTS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7E649-B69F-4923-80D0-369F67D27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OficioTSE</Template>
  <TotalTime>1</TotalTime>
  <Pages>4</Pages>
  <Words>1477</Words>
  <Characters>7877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TSE</Company>
  <LinksUpToDate>false</LinksUpToDate>
  <CharactersWithSpaces>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Mynor Enrique Mora Chang</dc:creator>
  <cp:lastModifiedBy>rhernandez</cp:lastModifiedBy>
  <cp:revision>2</cp:revision>
  <cp:lastPrinted>2014-02-06T19:57:00Z</cp:lastPrinted>
  <dcterms:created xsi:type="dcterms:W3CDTF">2015-01-30T17:11:00Z</dcterms:created>
  <dcterms:modified xsi:type="dcterms:W3CDTF">2015-01-30T17:11:00Z</dcterms:modified>
</cp:coreProperties>
</file>